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4CA6" w:rsidR="004B4CA6" w:rsidP="004B4CA6" w:rsidRDefault="004B4CA6" w14:paraId="437B968D" w14:textId="790D4BC9">
      <w:pPr>
        <w:jc w:val="center"/>
        <w:rPr>
          <w:rFonts w:ascii="Calibri" w:hAnsi="Calibri" w:cs="Calibri"/>
          <w:b/>
          <w:bCs/>
          <w:sz w:val="36"/>
          <w:szCs w:val="36"/>
          <w:u w:val="single"/>
        </w:rPr>
      </w:pPr>
      <w:r w:rsidRPr="004B4CA6">
        <w:rPr>
          <w:rFonts w:ascii="Calibri" w:hAnsi="Calibri" w:cs="Calibri"/>
          <w:b/>
          <w:bCs/>
          <w:sz w:val="36"/>
          <w:szCs w:val="36"/>
          <w:u w:val="single"/>
        </w:rPr>
        <w:t>Assessment and Grading in Large Classes</w:t>
      </w:r>
    </w:p>
    <w:p w:rsidR="004B4CA6" w:rsidP="00404DD1" w:rsidRDefault="004B4CA6" w14:paraId="1A7BE5D4" w14:textId="3E5D0AF5">
      <w:pPr>
        <w:spacing w:line="240" w:lineRule="auto"/>
      </w:pPr>
      <w:r>
        <w:t xml:space="preserve">Assessment is one of the most </w:t>
      </w:r>
      <w:r w:rsidR="00A5101D">
        <w:t>time-consuming</w:t>
      </w:r>
      <w:r>
        <w:t xml:space="preserve"> parts of </w:t>
      </w:r>
      <w:r w:rsidR="00905CE2">
        <w:t xml:space="preserve">teaching </w:t>
      </w:r>
      <w:r>
        <w:t xml:space="preserve">any course, </w:t>
      </w:r>
      <w:r w:rsidR="00905CE2">
        <w:t>a challenge which is compounded when teaching large undergraduate classes. This activity will walk you through considerations with regards to assessment and help you consider how to (re)design assessment in the context of your large class</w:t>
      </w:r>
      <w:r w:rsidR="006919A5">
        <w:t xml:space="preserve">. </w:t>
      </w:r>
    </w:p>
    <w:p w:rsidR="004B4CA6" w:rsidP="00404DD1" w:rsidRDefault="004B4CA6" w14:paraId="6064135C" w14:textId="70CBA5E7">
      <w:pPr>
        <w:spacing w:after="0" w:line="240" w:lineRule="auto"/>
      </w:pPr>
      <w:r>
        <w:t>By the end of this asynchronous activity, you should be able to:</w:t>
      </w:r>
    </w:p>
    <w:p w:rsidR="00905CE2" w:rsidP="00404DD1" w:rsidRDefault="00905CE2" w14:paraId="0C9D4894" w14:textId="62A84CF8">
      <w:pPr>
        <w:pStyle w:val="ListParagraph"/>
        <w:numPr>
          <w:ilvl w:val="0"/>
          <w:numId w:val="2"/>
        </w:numPr>
        <w:spacing w:line="240" w:lineRule="auto"/>
      </w:pPr>
      <w:r>
        <w:t>D</w:t>
      </w:r>
      <w:r w:rsidR="004B4CA6">
        <w:t xml:space="preserve">istinguish between types of assessments </w:t>
      </w:r>
    </w:p>
    <w:p w:rsidR="00905CE2" w:rsidP="00404DD1" w:rsidRDefault="00905CE2" w14:paraId="130E92BB" w14:textId="298453CA">
      <w:pPr>
        <w:pStyle w:val="ListParagraph"/>
        <w:numPr>
          <w:ilvl w:val="0"/>
          <w:numId w:val="2"/>
        </w:numPr>
        <w:spacing w:line="240" w:lineRule="auto"/>
      </w:pPr>
      <w:r>
        <w:t>D</w:t>
      </w:r>
      <w:r w:rsidR="004B4CA6">
        <w:t>ecide on assessment trade</w:t>
      </w:r>
      <w:r w:rsidR="004A06D5">
        <w:t>-</w:t>
      </w:r>
      <w:r w:rsidR="004B4CA6">
        <w:t>offs using a backwards design framework as relevant for large classes</w:t>
      </w:r>
    </w:p>
    <w:p w:rsidR="00905CE2" w:rsidP="00404DD1" w:rsidRDefault="00905CE2" w14:paraId="3D307028" w14:textId="3403DB10">
      <w:pPr>
        <w:pStyle w:val="ListParagraph"/>
        <w:numPr>
          <w:ilvl w:val="0"/>
          <w:numId w:val="2"/>
        </w:numPr>
        <w:spacing w:line="240" w:lineRule="auto"/>
      </w:pPr>
      <w:r>
        <w:t>D</w:t>
      </w:r>
      <w:r w:rsidR="004B4CA6">
        <w:t>ifferentiate the applications of feedback and feedforward</w:t>
      </w:r>
    </w:p>
    <w:p w:rsidRPr="004B4CA6" w:rsidR="004B4CA6" w:rsidP="00404DD1" w:rsidRDefault="00905CE2" w14:paraId="67BC6F16" w14:textId="1C5F234E">
      <w:pPr>
        <w:pStyle w:val="ListParagraph"/>
        <w:numPr>
          <w:ilvl w:val="0"/>
          <w:numId w:val="2"/>
        </w:numPr>
        <w:spacing w:line="240" w:lineRule="auto"/>
      </w:pPr>
      <w:r>
        <w:t>S</w:t>
      </w:r>
      <w:r w:rsidR="004B4CA6">
        <w:t>elect and adapt assessment/feedback types which are applicable to their large classes</w:t>
      </w:r>
    </w:p>
    <w:p w:rsidRPr="00335A0D" w:rsidR="004B4CA6" w:rsidP="00404DD1" w:rsidRDefault="00D95B99" w14:paraId="550CE3B9" w14:textId="6EA73DCE">
      <w:pPr>
        <w:pStyle w:val="Heading1"/>
        <w:spacing w:before="0" w:line="240" w:lineRule="auto"/>
        <w:rPr>
          <w:rFonts w:ascii="Calibri" w:hAnsi="Calibri" w:eastAsia="Calibri" w:cs="Calibri"/>
          <w:b/>
          <w:bCs/>
          <w:color w:val="7030A0"/>
          <w:sz w:val="24"/>
          <w:szCs w:val="24"/>
        </w:rPr>
      </w:pPr>
      <w:r>
        <w:rPr>
          <w:rFonts w:ascii="Calibri" w:hAnsi="Calibri" w:eastAsia="Calibri" w:cs="Calibri"/>
          <w:b/>
          <w:bCs/>
          <w:color w:val="7030A0"/>
          <w:sz w:val="24"/>
          <w:szCs w:val="24"/>
        </w:rPr>
        <w:t>Part</w:t>
      </w:r>
      <w:r w:rsidRPr="30A5BC4E" w:rsidR="004B4CA6">
        <w:rPr>
          <w:rFonts w:ascii="Calibri" w:hAnsi="Calibri" w:eastAsia="Calibri" w:cs="Calibri"/>
          <w:b/>
          <w:bCs/>
          <w:color w:val="7030A0"/>
          <w:sz w:val="24"/>
          <w:szCs w:val="24"/>
        </w:rPr>
        <w:t xml:space="preserve"> 1: </w:t>
      </w:r>
      <w:r w:rsidR="00FA395D">
        <w:rPr>
          <w:rFonts w:ascii="Calibri" w:hAnsi="Calibri" w:eastAsia="Calibri" w:cs="Calibri"/>
          <w:b/>
          <w:bCs/>
          <w:color w:val="7030A0"/>
          <w:sz w:val="24"/>
          <w:szCs w:val="24"/>
        </w:rPr>
        <w:t>Assessment Introduction</w:t>
      </w:r>
      <w:r w:rsidRPr="30A5BC4E" w:rsidR="004B4CA6">
        <w:rPr>
          <w:rFonts w:ascii="Calibri" w:hAnsi="Calibri" w:eastAsia="Calibri" w:cs="Calibri"/>
          <w:b/>
          <w:bCs/>
          <w:color w:val="7030A0"/>
          <w:sz w:val="24"/>
          <w:szCs w:val="24"/>
        </w:rPr>
        <w:t xml:space="preserve"> </w:t>
      </w:r>
    </w:p>
    <w:p w:rsidR="00FA395D" w:rsidP="00404DD1" w:rsidRDefault="008A62AB" w14:paraId="1032B4A6" w14:textId="77777777">
      <w:pPr>
        <w:spacing w:line="240" w:lineRule="auto"/>
      </w:pPr>
      <w:r w:rsidR="008A62AB">
        <w:rPr/>
        <w:t>Be</w:t>
      </w:r>
      <w:r w:rsidR="00FA395D">
        <w:rPr/>
        <w:t>f</w:t>
      </w:r>
      <w:r w:rsidR="008A62AB">
        <w:rPr/>
        <w:t xml:space="preserve">ore </w:t>
      </w:r>
      <w:r w:rsidR="00FA395D">
        <w:rPr/>
        <w:t>beginning, take a moment to reflect on why we assess students. What are the goals and what do we hope to accomplish?</w:t>
      </w:r>
    </w:p>
    <w:p w:rsidR="754750F4" w:rsidP="53976D65" w:rsidRDefault="754750F4" w14:paraId="6FCD8CF0" w14:textId="5E4C07AC">
      <w:pPr>
        <w:spacing w:line="240" w:lineRule="auto"/>
        <w:rPr>
          <w:rFonts w:ascii="Calibri" w:hAnsi="Calibri" w:eastAsia="Calibri" w:cs="Calibri"/>
          <w:b w:val="0"/>
          <w:bCs w:val="0"/>
          <w:i w:val="0"/>
          <w:iCs w:val="0"/>
          <w:caps w:val="0"/>
          <w:smallCaps w:val="0"/>
          <w:noProof w:val="0"/>
          <w:color w:val="000000" w:themeColor="text1" w:themeTint="FF" w:themeShade="FF"/>
          <w:sz w:val="24"/>
          <w:szCs w:val="24"/>
          <w:lang w:val="en-CA"/>
        </w:rPr>
      </w:pP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When thinking about assessment in any class, and large classes in particular, it is important to recognize that assessment does many things: it can measure learning, track progress, provide feedback, identify teaching gaps and provide opportunities to apply learning. Talking about assessment in relation to courses and course work in particular often means we focus on assignments as a substitute for assessment, but this does not need to be the case (see for example additional material from the </w:t>
      </w:r>
      <w:hyperlink r:id="R0235d4b84f824e8e">
        <w:r w:rsidRPr="53976D65" w:rsidR="754750F4">
          <w:rPr>
            <w:rStyle w:val="Hyperlink"/>
            <w:b w:val="0"/>
            <w:bCs w:val="0"/>
            <w:i w:val="0"/>
            <w:iCs w:val="0"/>
            <w:caps w:val="0"/>
            <w:smallCaps w:val="0"/>
            <w:strike w:val="0"/>
            <w:dstrike w:val="0"/>
            <w:noProof w:val="0"/>
            <w:lang w:val="en-CA"/>
          </w:rPr>
          <w:t>Cambridge Assessment Network</w:t>
        </w:r>
      </w:hyperlink>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p>
    <w:p w:rsidR="754750F4" w:rsidP="53976D65" w:rsidRDefault="754750F4" w14:paraId="10BFDFF3" w14:textId="7CA35F11">
      <w:pPr>
        <w:spacing w:line="240" w:lineRule="auto"/>
        <w:rPr>
          <w:rFonts w:ascii="Calibri" w:hAnsi="Calibri" w:eastAsia="Calibri" w:cs="Calibri"/>
          <w:b w:val="0"/>
          <w:bCs w:val="0"/>
          <w:i w:val="0"/>
          <w:iCs w:val="0"/>
          <w:caps w:val="0"/>
          <w:smallCaps w:val="0"/>
          <w:noProof w:val="0"/>
          <w:color w:val="000000" w:themeColor="text1" w:themeTint="FF" w:themeShade="FF"/>
          <w:sz w:val="24"/>
          <w:szCs w:val="24"/>
          <w:lang w:val="en-CA"/>
        </w:rPr>
      </w:pP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Assessment can be categorized into three types. . </w:t>
      </w:r>
      <w:r w:rsidRPr="53976D65" w:rsidR="754750F4">
        <w:rPr>
          <w:rFonts w:ascii="Calibri" w:hAnsi="Calibri" w:eastAsia="Calibri" w:cs="Calibri"/>
          <w:b w:val="1"/>
          <w:bCs w:val="1"/>
          <w:i w:val="0"/>
          <w:iCs w:val="0"/>
          <w:caps w:val="0"/>
          <w:smallCaps w:val="0"/>
          <w:noProof w:val="0"/>
          <w:color w:val="000000" w:themeColor="text1" w:themeTint="FF" w:themeShade="FF"/>
          <w:sz w:val="24"/>
          <w:szCs w:val="24"/>
          <w:lang w:val="en-CA"/>
        </w:rPr>
        <w:t>Assessment of Learning (AOL)</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refers to the high-stakes summative assessments often thought of in courses, like exams. </w:t>
      </w:r>
      <w:r w:rsidRPr="53976D65" w:rsidR="754750F4">
        <w:rPr>
          <w:rFonts w:ascii="Calibri" w:hAnsi="Calibri" w:eastAsia="Calibri" w:cs="Calibri"/>
          <w:b w:val="1"/>
          <w:bCs w:val="1"/>
          <w:i w:val="0"/>
          <w:iCs w:val="0"/>
          <w:caps w:val="0"/>
          <w:smallCaps w:val="0"/>
          <w:noProof w:val="0"/>
          <w:color w:val="000000" w:themeColor="text1" w:themeTint="FF" w:themeShade="FF"/>
          <w:sz w:val="24"/>
          <w:szCs w:val="24"/>
          <w:lang w:val="en-CA"/>
        </w:rPr>
        <w:t>Assessment for Learning (AFL)</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refers to the low-stakes formative assessments which support learning and build towards the skills and knowledge needed to be successful on AOLs such as weekly quizzes and discussions. </w:t>
      </w:r>
      <w:r w:rsidRPr="53976D65" w:rsidR="754750F4">
        <w:rPr>
          <w:rFonts w:ascii="Calibri" w:hAnsi="Calibri" w:eastAsia="Calibri" w:cs="Calibri"/>
          <w:b w:val="1"/>
          <w:bCs w:val="1"/>
          <w:i w:val="0"/>
          <w:iCs w:val="0"/>
          <w:caps w:val="0"/>
          <w:smallCaps w:val="0"/>
          <w:noProof w:val="0"/>
          <w:color w:val="000000" w:themeColor="text1" w:themeTint="FF" w:themeShade="FF"/>
          <w:sz w:val="24"/>
          <w:szCs w:val="24"/>
          <w:lang w:val="en-CA"/>
        </w:rPr>
        <w:t>Assessment as Learning (AAL)</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refers to the metacognitive assessments which have students consider and track their learning such as reflection activities. See this resource for further details: </w:t>
      </w:r>
      <w:hyperlink r:id="R52f793e4266d49bc">
        <w:r w:rsidRPr="53976D65" w:rsidR="754750F4">
          <w:rPr>
            <w:rStyle w:val="Hyperlink"/>
            <w:b w:val="0"/>
            <w:bCs w:val="0"/>
            <w:i w:val="0"/>
            <w:iCs w:val="0"/>
            <w:caps w:val="0"/>
            <w:smallCaps w:val="0"/>
            <w:strike w:val="0"/>
            <w:dstrike w:val="0"/>
            <w:noProof w:val="0"/>
            <w:lang w:val="en-CA"/>
          </w:rPr>
          <w:t>Assessment of/for/as Learning</w:t>
        </w:r>
      </w:hyperlink>
    </w:p>
    <w:p w:rsidR="754750F4" w:rsidP="53976D65" w:rsidRDefault="754750F4" w14:paraId="0DA94929" w14:textId="6D34B7E8">
      <w:pPr>
        <w:spacing w:line="240" w:lineRule="auto"/>
        <w:rPr>
          <w:rFonts w:ascii="Calibri" w:hAnsi="Calibri" w:eastAsia="Calibri" w:cs="Calibri"/>
          <w:b w:val="0"/>
          <w:bCs w:val="0"/>
          <w:i w:val="0"/>
          <w:iCs w:val="0"/>
          <w:caps w:val="0"/>
          <w:smallCaps w:val="0"/>
          <w:noProof w:val="0"/>
          <w:color w:val="000000" w:themeColor="text1" w:themeTint="FF" w:themeShade="FF"/>
          <w:sz w:val="24"/>
          <w:szCs w:val="24"/>
          <w:lang w:val="en-CA"/>
        </w:rPr>
      </w:pP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As you develop your course, considering each of these assessment types is necessary and requires meaningful alignment and strategic design decisions to design effective assessments which offer students a chance to receive feedback and apply their learning, without burning out instructors and TAs from marking. </w:t>
      </w:r>
    </w:p>
    <w:p w:rsidR="754750F4" w:rsidP="53976D65" w:rsidRDefault="754750F4" w14:paraId="0C1F8963" w14:textId="0FDE7D18">
      <w:pPr>
        <w:spacing w:line="240" w:lineRule="auto"/>
      </w:pP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Assessment in large classes does not need to mean more grading, but it does require considerations and thoughtful alignment between learning outcomes and assessments. Where possible consider opportunities to offer </w:t>
      </w:r>
      <w:hyperlink r:id="Rd46e55f859e64ce1">
        <w:r w:rsidRPr="53976D65" w:rsidR="754750F4">
          <w:rPr>
            <w:rStyle w:val="Hyperlink"/>
            <w:b w:val="0"/>
            <w:bCs w:val="0"/>
            <w:i w:val="0"/>
            <w:iCs w:val="0"/>
            <w:caps w:val="0"/>
            <w:smallCaps w:val="0"/>
            <w:strike w:val="0"/>
            <w:dstrike w:val="0"/>
            <w:noProof w:val="0"/>
            <w:lang w:val="en-CA"/>
          </w:rPr>
          <w:t>AFLs and AALs</w:t>
        </w:r>
      </w:hyperlink>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which allow students to prepare for AOLs but do not require significantly more grading </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burden, or</w:t>
      </w:r>
      <w:r w:rsidRPr="53976D65" w:rsidR="754750F4">
        <w:rPr>
          <w:rFonts w:ascii="Calibri" w:hAnsi="Calibri" w:eastAsia="Calibri" w:cs="Calibri"/>
          <w:b w:val="0"/>
          <w:bCs w:val="0"/>
          <w:i w:val="0"/>
          <w:iCs w:val="0"/>
          <w:caps w:val="0"/>
          <w:smallCaps w:val="0"/>
          <w:noProof w:val="0"/>
          <w:color w:val="000000" w:themeColor="text1" w:themeTint="FF" w:themeShade="FF"/>
          <w:sz w:val="24"/>
          <w:szCs w:val="24"/>
          <w:lang w:val="en-CA"/>
        </w:rPr>
        <w:t xml:space="preserve"> consider reallocating time from summative AOLs to other assessments.</w:t>
      </w:r>
    </w:p>
    <w:p w:rsidR="53976D65" w:rsidP="53976D65" w:rsidRDefault="53976D65" w14:paraId="7EC44362" w14:textId="6EC989D4">
      <w:pPr>
        <w:spacing w:line="240" w:lineRule="auto"/>
        <w:rPr>
          <w:rFonts w:ascii="Calibri" w:hAnsi="Calibri" w:eastAsia="Calibri" w:cs="Calibri"/>
          <w:b w:val="0"/>
          <w:bCs w:val="0"/>
          <w:i w:val="0"/>
          <w:iCs w:val="0"/>
          <w:caps w:val="0"/>
          <w:smallCaps w:val="0"/>
          <w:noProof w:val="0"/>
          <w:color w:val="000000" w:themeColor="text1" w:themeTint="FF" w:themeShade="FF"/>
          <w:sz w:val="24"/>
          <w:szCs w:val="24"/>
          <w:lang w:val="en-CA"/>
        </w:rPr>
      </w:pPr>
    </w:p>
    <w:p w:rsidR="00935E18" w:rsidP="00404DD1" w:rsidRDefault="006C5E1B" w14:paraId="19DB5F3F" w14:textId="7D753E61">
      <w:pPr>
        <w:pStyle w:val="Heading1"/>
        <w:spacing w:before="0" w:line="240" w:lineRule="auto"/>
        <w:rPr>
          <w:rFonts w:ascii="Calibri" w:hAnsi="Calibri" w:eastAsia="Calibri" w:cs="Calibri"/>
          <w:b/>
          <w:bCs/>
          <w:color w:val="7030A0"/>
          <w:sz w:val="24"/>
          <w:szCs w:val="24"/>
        </w:rPr>
      </w:pPr>
      <w:r>
        <w:rPr>
          <w:rFonts w:ascii="Calibri" w:hAnsi="Calibri" w:eastAsia="Calibri" w:cs="Calibri"/>
          <w:b/>
          <w:bCs/>
          <w:color w:val="7030A0"/>
          <w:sz w:val="24"/>
          <w:szCs w:val="24"/>
        </w:rPr>
        <w:lastRenderedPageBreak/>
        <w:t xml:space="preserve">Part 2: </w:t>
      </w:r>
      <w:r w:rsidR="00935E18">
        <w:rPr>
          <w:rFonts w:ascii="Calibri" w:hAnsi="Calibri" w:eastAsia="Calibri" w:cs="Calibri"/>
          <w:b/>
          <w:bCs/>
          <w:color w:val="7030A0"/>
          <w:sz w:val="24"/>
          <w:szCs w:val="24"/>
        </w:rPr>
        <w:t>Aligning Your Assessments</w:t>
      </w:r>
    </w:p>
    <w:tbl>
      <w:tblPr>
        <w:tblStyle w:val="TableGrid"/>
        <w:tblpPr w:leftFromText="180" w:rightFromText="180" w:vertAnchor="page" w:horzAnchor="margin" w:tblpY="2986"/>
        <w:tblW w:w="0" w:type="auto"/>
        <w:tblLook w:val="04A0" w:firstRow="1" w:lastRow="0" w:firstColumn="1" w:lastColumn="0" w:noHBand="0" w:noVBand="1"/>
      </w:tblPr>
      <w:tblGrid>
        <w:gridCol w:w="3397"/>
        <w:gridCol w:w="5953"/>
      </w:tblGrid>
      <w:tr w:rsidR="009A3335" w:rsidTr="53976D65" w14:paraId="3B8A67BC" w14:textId="77777777">
        <w:tc>
          <w:tcPr>
            <w:tcW w:w="3397" w:type="dxa"/>
            <w:tcMar/>
          </w:tcPr>
          <w:p w:rsidR="009A3335" w:rsidP="00404DD1" w:rsidRDefault="009A3335" w14:paraId="5D56DEED" w14:textId="77777777">
            <w:r>
              <w:t xml:space="preserve">List the ILOs from your course </w:t>
            </w:r>
          </w:p>
        </w:tc>
        <w:tc>
          <w:tcPr>
            <w:tcW w:w="5953" w:type="dxa"/>
            <w:tcMar/>
          </w:tcPr>
          <w:p w:rsidR="009A3335" w:rsidP="00404DD1" w:rsidRDefault="009A3335" w14:paraId="06E690D0" w14:textId="77777777"/>
          <w:p w:rsidR="009A3335" w:rsidP="00404DD1" w:rsidRDefault="009A3335" w14:paraId="68B32474" w14:textId="77777777"/>
        </w:tc>
      </w:tr>
      <w:tr w:rsidR="009A3335" w:rsidTr="53976D65" w14:paraId="1C784797" w14:textId="77777777">
        <w:tc>
          <w:tcPr>
            <w:tcW w:w="3397" w:type="dxa"/>
            <w:tcMar/>
          </w:tcPr>
          <w:p w:rsidR="00E55FDD" w:rsidP="00404DD1" w:rsidRDefault="009A3335" w14:paraId="3F0006AA" w14:textId="77777777">
            <w:pPr>
              <w:rPr>
                <w:lang w:val="en-US"/>
              </w:rPr>
            </w:pPr>
            <w:r w:rsidRPr="00AA1657">
              <w:rPr>
                <w:lang w:val="en-US"/>
              </w:rPr>
              <w:t xml:space="preserve">What evidence is needed to know </w:t>
            </w:r>
            <w:r>
              <w:rPr>
                <w:lang w:val="en-US"/>
              </w:rPr>
              <w:t>each</w:t>
            </w:r>
            <w:r w:rsidRPr="00AA1657">
              <w:rPr>
                <w:lang w:val="en-US"/>
              </w:rPr>
              <w:t xml:space="preserve"> ILO is </w:t>
            </w:r>
            <w:r>
              <w:rPr>
                <w:lang w:val="en-US"/>
              </w:rPr>
              <w:t>achieved</w:t>
            </w:r>
            <w:r w:rsidRPr="00AA1657">
              <w:rPr>
                <w:lang w:val="en-US"/>
              </w:rPr>
              <w:t>?</w:t>
            </w:r>
          </w:p>
          <w:p w:rsidRPr="00E55FDD" w:rsidR="00E55FDD" w:rsidP="00404DD1" w:rsidRDefault="00E55FDD" w14:paraId="52EFC74A" w14:textId="4B9E57BC">
            <w:pPr>
              <w:rPr>
                <w:lang w:val="en-US"/>
              </w:rPr>
            </w:pPr>
          </w:p>
        </w:tc>
        <w:tc>
          <w:tcPr>
            <w:tcW w:w="5953" w:type="dxa"/>
            <w:tcMar/>
          </w:tcPr>
          <w:p w:rsidR="009A3335" w:rsidP="00404DD1" w:rsidRDefault="009A3335" w14:paraId="53BD33C7" w14:textId="77777777"/>
        </w:tc>
      </w:tr>
      <w:tr w:rsidR="009A3335" w:rsidTr="53976D65" w14:paraId="71CE6730" w14:textId="77777777">
        <w:trPr>
          <w:trHeight w:val="911"/>
        </w:trPr>
        <w:tc>
          <w:tcPr>
            <w:tcW w:w="3397" w:type="dxa"/>
            <w:tcMar/>
          </w:tcPr>
          <w:p w:rsidR="009A3335" w:rsidP="00404DD1" w:rsidRDefault="009A3335" w14:paraId="1A6503D5" w14:textId="77777777">
            <w:pPr>
              <w:rPr>
                <w:lang w:val="en-US"/>
              </w:rPr>
            </w:pPr>
            <w:r w:rsidRPr="00AA1657">
              <w:rPr>
                <w:lang w:val="en-US"/>
              </w:rPr>
              <w:t>Where do you see overlap in evidence where one assessment can serve multiple ILOs</w:t>
            </w:r>
          </w:p>
          <w:p w:rsidR="00E55FDD" w:rsidP="00404DD1" w:rsidRDefault="00E55FDD" w14:paraId="5769B8B8" w14:textId="393D9B17"/>
        </w:tc>
        <w:tc>
          <w:tcPr>
            <w:tcW w:w="5953" w:type="dxa"/>
            <w:tcMar/>
          </w:tcPr>
          <w:p w:rsidR="009A3335" w:rsidP="00404DD1" w:rsidRDefault="009A3335" w14:paraId="0DE0529F" w14:textId="77777777"/>
        </w:tc>
      </w:tr>
    </w:tbl>
    <w:p w:rsidR="53976D65" w:rsidRDefault="53976D65" w14:paraId="4182A231" w14:textId="4BAAC533"/>
    <w:p w:rsidR="009A3335" w:rsidP="00935E18" w:rsidRDefault="000842B6" w14:paraId="35E73F3D" w14:textId="5596905E">
      <w:r>
        <w:t xml:space="preserve">In thinking about your assessments, you are going to follow a </w:t>
      </w:r>
      <w:hyperlink w:history="1" r:id="rId13">
        <w:r w:rsidRPr="00AE5BDD">
          <w:rPr>
            <w:rStyle w:val="Hyperlink"/>
          </w:rPr>
          <w:t>backwards design</w:t>
        </w:r>
      </w:hyperlink>
      <w:r>
        <w:t xml:space="preserve"> </w:t>
      </w:r>
      <w:r w:rsidR="005B4633">
        <w:t xml:space="preserve">approach to </w:t>
      </w:r>
      <w:r w:rsidR="00AE5BDD">
        <w:t xml:space="preserve">consider </w:t>
      </w:r>
      <w:r w:rsidR="00F24412">
        <w:t>what your course needs, rather than starting with your current assignments.</w:t>
      </w:r>
      <w:r>
        <w:t xml:space="preserve"> </w:t>
      </w:r>
      <w:r w:rsidRPr="00935E18" w:rsidR="00935E18">
        <w:t>Fill in</w:t>
      </w:r>
      <w:r w:rsidR="00935E18">
        <w:t xml:space="preserve"> the chart below </w:t>
      </w:r>
      <w:r>
        <w:t xml:space="preserve">from </w:t>
      </w:r>
      <w:r w:rsidR="00FB3DE7">
        <w:t xml:space="preserve">a </w:t>
      </w:r>
      <w:r w:rsidR="00EB22A3">
        <w:t xml:space="preserve">large </w:t>
      </w:r>
      <w:r w:rsidR="00FB3DE7">
        <w:t xml:space="preserve">course you are considering </w:t>
      </w:r>
      <w:r w:rsidR="00EB22A3">
        <w:t>redesigning.</w:t>
      </w:r>
    </w:p>
    <w:p w:rsidR="00E55FDD" w:rsidP="00404DD1" w:rsidRDefault="00E55FDD" w14:paraId="07623E9F" w14:textId="17A52FEF">
      <w:pPr>
        <w:spacing w:before="240" w:line="240" w:lineRule="auto"/>
      </w:pPr>
      <w:r>
        <w:t>Now with your ILOs</w:t>
      </w:r>
      <w:r w:rsidR="00531ECE">
        <w:t xml:space="preserve"> that overlap</w:t>
      </w:r>
      <w:r>
        <w:t xml:space="preserve">, </w:t>
      </w:r>
      <w:r w:rsidR="00121147">
        <w:t xml:space="preserve">consider what AOLs might allow you to collect evidence </w:t>
      </w:r>
      <w:r w:rsidR="00E50CEA">
        <w:t xml:space="preserve">of these </w:t>
      </w:r>
      <w:r w:rsidR="00043E33">
        <w:t>ILOs</w:t>
      </w:r>
      <w:r w:rsidR="00531ECE">
        <w:t xml:space="preserve">. For large classes especially, you do not need </w:t>
      </w:r>
      <w:r w:rsidR="00AE1199">
        <w:t xml:space="preserve">one AOL per ILO but try to group them together. </w:t>
      </w:r>
      <w:r w:rsidR="00ED32DB">
        <w:t xml:space="preserve">Consider especially AOLs where you can </w:t>
      </w:r>
      <w:r w:rsidR="00A33CED">
        <w:t>have specific rubrics and feedback comment banks to streamline grading.</w:t>
      </w:r>
    </w:p>
    <w:tbl>
      <w:tblPr>
        <w:tblStyle w:val="TableGrid"/>
        <w:tblpPr w:leftFromText="180" w:rightFromText="180" w:vertAnchor="page" w:horzAnchor="margin" w:tblpY="7201"/>
        <w:tblW w:w="0" w:type="auto"/>
        <w:tblLook w:val="04A0" w:firstRow="1" w:lastRow="0" w:firstColumn="1" w:lastColumn="0" w:noHBand="0" w:noVBand="1"/>
      </w:tblPr>
      <w:tblGrid>
        <w:gridCol w:w="3397"/>
        <w:gridCol w:w="5953"/>
      </w:tblGrid>
      <w:tr w:rsidR="00B7497E" w:rsidTr="00B7497E" w14:paraId="5A47F2E1" w14:textId="77777777">
        <w:tc>
          <w:tcPr>
            <w:tcW w:w="3397" w:type="dxa"/>
          </w:tcPr>
          <w:p w:rsidR="00B7497E" w:rsidP="00B7497E" w:rsidRDefault="00B7497E" w14:paraId="13A5194E" w14:textId="77777777">
            <w:r>
              <w:t xml:space="preserve">Which AOLs might assess where there is overlap in your ILOs </w:t>
            </w:r>
          </w:p>
          <w:p w:rsidR="00AE4EC7" w:rsidP="00B7497E" w:rsidRDefault="00AE4EC7" w14:paraId="2D4A0C25" w14:textId="77777777"/>
        </w:tc>
        <w:tc>
          <w:tcPr>
            <w:tcW w:w="5953" w:type="dxa"/>
          </w:tcPr>
          <w:p w:rsidR="00B7497E" w:rsidP="00B7497E" w:rsidRDefault="00B7497E" w14:paraId="0CC0C4BB" w14:textId="77777777"/>
        </w:tc>
      </w:tr>
    </w:tbl>
    <w:tbl>
      <w:tblPr>
        <w:tblStyle w:val="TableGrid"/>
        <w:tblW w:w="0" w:type="auto"/>
        <w:tblLook w:val="04A0" w:firstRow="1" w:lastRow="0" w:firstColumn="1" w:lastColumn="0" w:noHBand="0" w:noVBand="1"/>
      </w:tblPr>
      <w:tblGrid>
        <w:gridCol w:w="3397"/>
        <w:gridCol w:w="5953"/>
      </w:tblGrid>
      <w:tr w:rsidR="00AE4EC7" w:rsidTr="00213C38" w14:paraId="19A18056" w14:textId="77777777">
        <w:tc>
          <w:tcPr>
            <w:tcW w:w="3397" w:type="dxa"/>
          </w:tcPr>
          <w:p w:rsidR="00AE4EC7" w:rsidP="00213C38" w:rsidRDefault="00AE4EC7" w14:paraId="0B4AD8A8" w14:textId="6079F544">
            <w:pPr>
              <w:tabs>
                <w:tab w:val="left" w:pos="2293"/>
              </w:tabs>
            </w:pPr>
            <w:r>
              <w:t xml:space="preserve">With </w:t>
            </w:r>
            <w:r w:rsidR="00043E33">
              <w:t xml:space="preserve">one of the </w:t>
            </w:r>
            <w:r>
              <w:t>AOL</w:t>
            </w:r>
            <w:r w:rsidR="00043E33">
              <w:t xml:space="preserve">s determined </w:t>
            </w:r>
            <w:proofErr w:type="spellStart"/>
            <w:r w:rsidR="00043E33">
              <w:t>abover</w:t>
            </w:r>
            <w:proofErr w:type="spellEnd"/>
            <w:r>
              <w:t>, what skills/knowledge do your students need to be successful in this?</w:t>
            </w:r>
          </w:p>
          <w:p w:rsidR="00AE4EC7" w:rsidP="00213C38" w:rsidRDefault="00AE4EC7" w14:paraId="20135581" w14:textId="77777777">
            <w:pPr>
              <w:tabs>
                <w:tab w:val="left" w:pos="2293"/>
              </w:tabs>
            </w:pPr>
          </w:p>
        </w:tc>
        <w:tc>
          <w:tcPr>
            <w:tcW w:w="5953" w:type="dxa"/>
          </w:tcPr>
          <w:p w:rsidR="00AE4EC7" w:rsidP="00213C38" w:rsidRDefault="00AE4EC7" w14:paraId="20C3FBD9" w14:textId="77777777">
            <w:pPr>
              <w:tabs>
                <w:tab w:val="left" w:pos="2293"/>
              </w:tabs>
            </w:pPr>
          </w:p>
        </w:tc>
      </w:tr>
    </w:tbl>
    <w:p w:rsidR="00B7497E" w:rsidP="00404DD1" w:rsidRDefault="00B76AC5" w14:paraId="3CC817FB" w14:textId="58F920BD">
      <w:pPr>
        <w:spacing w:before="240" w:line="240" w:lineRule="auto"/>
      </w:pPr>
      <w:r>
        <w:t xml:space="preserve">Given your above </w:t>
      </w:r>
      <w:r w:rsidR="00F815F5">
        <w:t xml:space="preserve">AOLs, </w:t>
      </w:r>
      <w:r w:rsidR="00DF2038">
        <w:t>you now want to think about ways to offer students a chance to practice</w:t>
      </w:r>
      <w:r w:rsidR="008129AF">
        <w:t xml:space="preserve">, </w:t>
      </w:r>
      <w:r w:rsidR="00DF2038">
        <w:t xml:space="preserve">receive feedback </w:t>
      </w:r>
      <w:r w:rsidR="008129AF">
        <w:t xml:space="preserve">and reflect on their learning </w:t>
      </w:r>
      <w:r w:rsidR="00DF2038">
        <w:t xml:space="preserve">before </w:t>
      </w:r>
      <w:r w:rsidR="00AB7AA7">
        <w:t>submitting the AOL</w:t>
      </w:r>
      <w:r w:rsidR="00AE2E00">
        <w:t>s</w:t>
      </w:r>
      <w:r w:rsidR="00AB7AA7">
        <w:t xml:space="preserve">. </w:t>
      </w:r>
      <w:r w:rsidR="00AE2E00">
        <w:t>These can be for low grades</w:t>
      </w:r>
      <w:r w:rsidR="00E42265">
        <w:t>, completion marks</w:t>
      </w:r>
      <w:r w:rsidR="00AE2E00">
        <w:t xml:space="preserve"> or </w:t>
      </w:r>
      <w:r w:rsidR="00E42265">
        <w:t xml:space="preserve">even </w:t>
      </w:r>
      <w:r w:rsidR="00AE2E00">
        <w:t>no grades</w:t>
      </w:r>
      <w:r w:rsidR="00E42265">
        <w:t xml:space="preserve"> at all</w:t>
      </w:r>
      <w:r w:rsidR="00AE2E00">
        <w:t xml:space="preserve">, and you may consider taking advantage of strategies such as auto-graded quizzes, </w:t>
      </w:r>
      <w:r w:rsidR="0051070C">
        <w:t xml:space="preserve">self and peer feedback or standardized rubrics and checklists </w:t>
      </w:r>
      <w:r w:rsidR="001B147F">
        <w:t xml:space="preserve">to offer feedback without needing to spend too much time on each assessment. You may also want to consider where smaller ‘chunks’ of your AOL could be submitted in advance as an AFL to </w:t>
      </w:r>
      <w:r w:rsidR="00E42265">
        <w:t>reallocate grading time</w:t>
      </w:r>
      <w:r w:rsidR="008129AF">
        <w:t xml:space="preserve"> earlier in the semester. </w:t>
      </w:r>
    </w:p>
    <w:p w:rsidR="008129AF" w:rsidP="008129AF" w:rsidRDefault="008129AF" w14:paraId="3CF12685" w14:textId="742B5EC8">
      <w:pPr>
        <w:spacing w:line="240" w:lineRule="auto"/>
      </w:pPr>
      <w:r>
        <w:t xml:space="preserve">When considering AFL and </w:t>
      </w:r>
      <w:r w:rsidR="0035132F">
        <w:t xml:space="preserve">AAL integration, you will want to consider where you can incorporate </w:t>
      </w:r>
      <w:r w:rsidR="00043E33">
        <w:t>f</w:t>
      </w:r>
      <w:r w:rsidR="0035132F">
        <w:t xml:space="preserve">eedforward, comments focused on actionable changes students can make to improve </w:t>
      </w:r>
      <w:r w:rsidR="00927CE6">
        <w:t xml:space="preserve">on future upcoming assessments. These can be delivered </w:t>
      </w:r>
      <w:r w:rsidR="008C5D42">
        <w:t>on individual assessments but might also be employed using in class practice activities, or whole class comments on areas of strength and improvement.</w:t>
      </w:r>
    </w:p>
    <w:p w:rsidR="008C5D42" w:rsidP="008129AF" w:rsidRDefault="008C5D42" w14:paraId="19533CD9" w14:textId="77777777">
      <w:pPr>
        <w:spacing w:line="240" w:lineRule="auto"/>
      </w:pPr>
    </w:p>
    <w:tbl>
      <w:tblPr>
        <w:tblStyle w:val="TableGrid"/>
        <w:tblW w:w="0" w:type="auto"/>
        <w:tblLook w:val="04A0" w:firstRow="1" w:lastRow="0" w:firstColumn="1" w:lastColumn="0" w:noHBand="0" w:noVBand="1"/>
      </w:tblPr>
      <w:tblGrid>
        <w:gridCol w:w="3397"/>
        <w:gridCol w:w="5953"/>
      </w:tblGrid>
      <w:tr w:rsidR="008A7AEC" w:rsidTr="00213C38" w14:paraId="1E675FB8" w14:textId="77777777">
        <w:tc>
          <w:tcPr>
            <w:tcW w:w="3397" w:type="dxa"/>
          </w:tcPr>
          <w:p w:rsidR="008A7AEC" w:rsidP="00213C38" w:rsidRDefault="008A7AEC" w14:paraId="430F998E" w14:textId="77777777">
            <w:pPr>
              <w:tabs>
                <w:tab w:val="left" w:pos="2293"/>
              </w:tabs>
            </w:pPr>
            <w:r>
              <w:lastRenderedPageBreak/>
              <w:t>What AFLs would support students in developing the above listed skills? What would the progression look like?</w:t>
            </w:r>
          </w:p>
          <w:p w:rsidR="008A7AEC" w:rsidP="00213C38" w:rsidRDefault="008A7AEC" w14:paraId="1D0A940C" w14:textId="2B8B5AE8">
            <w:pPr>
              <w:tabs>
                <w:tab w:val="left" w:pos="2293"/>
              </w:tabs>
            </w:pPr>
          </w:p>
        </w:tc>
        <w:tc>
          <w:tcPr>
            <w:tcW w:w="5953" w:type="dxa"/>
          </w:tcPr>
          <w:p w:rsidR="008A7AEC" w:rsidP="00213C38" w:rsidRDefault="008A7AEC" w14:paraId="39DE40C4" w14:textId="77777777">
            <w:pPr>
              <w:tabs>
                <w:tab w:val="left" w:pos="2293"/>
              </w:tabs>
            </w:pPr>
          </w:p>
        </w:tc>
      </w:tr>
      <w:tr w:rsidR="00A12FC8" w:rsidTr="00213C38" w14:paraId="3A06D732" w14:textId="77777777">
        <w:tc>
          <w:tcPr>
            <w:tcW w:w="3397" w:type="dxa"/>
          </w:tcPr>
          <w:p w:rsidR="00A12FC8" w:rsidP="00213C38" w:rsidRDefault="00246676" w14:paraId="6A193032" w14:textId="77777777">
            <w:pPr>
              <w:tabs>
                <w:tab w:val="left" w:pos="2293"/>
              </w:tabs>
            </w:pPr>
            <w:r>
              <w:t>Wh</w:t>
            </w:r>
            <w:r w:rsidRPr="003F473B">
              <w:t>ere and how might you build in AAL opportunities for students to self</w:t>
            </w:r>
            <w:r>
              <w:t>-</w:t>
            </w:r>
            <w:r w:rsidRPr="003F473B">
              <w:t>evaluate before or after relevant AFLs</w:t>
            </w:r>
            <w:r>
              <w:t xml:space="preserve"> and AOLs</w:t>
            </w:r>
            <w:r w:rsidRPr="003F473B">
              <w:t>?</w:t>
            </w:r>
          </w:p>
          <w:p w:rsidR="00927CE6" w:rsidP="00213C38" w:rsidRDefault="00927CE6" w14:paraId="709C9D62" w14:textId="53B1BC6E">
            <w:pPr>
              <w:tabs>
                <w:tab w:val="left" w:pos="2293"/>
              </w:tabs>
            </w:pPr>
          </w:p>
        </w:tc>
        <w:tc>
          <w:tcPr>
            <w:tcW w:w="5953" w:type="dxa"/>
          </w:tcPr>
          <w:p w:rsidR="00A12FC8" w:rsidP="00213C38" w:rsidRDefault="00A12FC8" w14:paraId="434E9DC1" w14:textId="77777777">
            <w:pPr>
              <w:tabs>
                <w:tab w:val="left" w:pos="2293"/>
              </w:tabs>
            </w:pPr>
          </w:p>
        </w:tc>
      </w:tr>
      <w:tr w:rsidR="008A7AEC" w:rsidTr="00213C38" w14:paraId="32124C5B" w14:textId="77777777">
        <w:tc>
          <w:tcPr>
            <w:tcW w:w="3397" w:type="dxa"/>
          </w:tcPr>
          <w:p w:rsidR="008A7AEC" w:rsidP="00213C38" w:rsidRDefault="008A7AEC" w14:paraId="5C3DE701" w14:textId="62EC0E14">
            <w:pPr>
              <w:tabs>
                <w:tab w:val="left" w:pos="2293"/>
              </w:tabs>
            </w:pPr>
            <w:r>
              <w:t>How might you build these</w:t>
            </w:r>
            <w:r w:rsidR="00A12FC8">
              <w:t xml:space="preserve"> AFLs and AALs</w:t>
            </w:r>
            <w:r w:rsidR="00CE59A4">
              <w:t xml:space="preserve"> in ways that require limited grading</w:t>
            </w:r>
            <w:r w:rsidR="00927CE6">
              <w:t xml:space="preserve"> but offer feedforward opportunities?</w:t>
            </w:r>
          </w:p>
          <w:p w:rsidR="008A7AEC" w:rsidP="00213C38" w:rsidRDefault="008A7AEC" w14:paraId="7ECFD860" w14:textId="77777777">
            <w:pPr>
              <w:tabs>
                <w:tab w:val="left" w:pos="2293"/>
              </w:tabs>
            </w:pPr>
          </w:p>
        </w:tc>
        <w:tc>
          <w:tcPr>
            <w:tcW w:w="5953" w:type="dxa"/>
          </w:tcPr>
          <w:p w:rsidR="008A7AEC" w:rsidP="00213C38" w:rsidRDefault="008A7AEC" w14:paraId="06ACE678" w14:textId="77777777">
            <w:pPr>
              <w:tabs>
                <w:tab w:val="left" w:pos="2293"/>
              </w:tabs>
            </w:pPr>
          </w:p>
        </w:tc>
      </w:tr>
    </w:tbl>
    <w:p w:rsidR="00371C0A" w:rsidP="00371C0A" w:rsidRDefault="00371C0A" w14:paraId="09EBC299" w14:textId="77777777">
      <w:pPr>
        <w:pStyle w:val="Heading1"/>
        <w:spacing w:before="0" w:line="240" w:lineRule="auto"/>
        <w:rPr>
          <w:rFonts w:ascii="Calibri" w:hAnsi="Calibri" w:eastAsia="Calibri" w:cs="Calibri"/>
          <w:b/>
          <w:bCs/>
          <w:color w:val="7030A0"/>
          <w:sz w:val="24"/>
          <w:szCs w:val="24"/>
        </w:rPr>
      </w:pPr>
    </w:p>
    <w:p w:rsidRPr="00935E18" w:rsidR="009A3335" w:rsidP="00935E18" w:rsidRDefault="009A3335" w14:paraId="3F1228E9" w14:textId="77777777"/>
    <w:p w:rsidRPr="00871C00" w:rsidR="00E510AD" w:rsidP="00E510AD" w:rsidRDefault="00E510AD" w14:paraId="6B15B962" w14:textId="77777777">
      <w:pPr>
        <w:pStyle w:val="Heading1"/>
        <w:spacing w:before="0" w:line="240" w:lineRule="auto"/>
        <w:rPr>
          <w:rFonts w:ascii="Calibri" w:hAnsi="Calibri" w:eastAsia="Calibri" w:cs="Calibri"/>
          <w:b/>
          <w:bCs/>
          <w:color w:val="7030A0"/>
          <w:sz w:val="24"/>
          <w:szCs w:val="24"/>
        </w:rPr>
      </w:pPr>
      <w:r>
        <w:rPr>
          <w:rFonts w:ascii="Calibri" w:hAnsi="Calibri" w:eastAsia="Calibri" w:cs="Calibri"/>
          <w:b/>
          <w:bCs/>
          <w:color w:val="7030A0"/>
          <w:sz w:val="24"/>
          <w:szCs w:val="24"/>
        </w:rPr>
        <w:t>Additional Resources</w:t>
      </w:r>
    </w:p>
    <w:p w:rsidRPr="00A161BA" w:rsidR="00E510AD" w:rsidP="00E510AD" w:rsidRDefault="00E510AD" w14:paraId="3B75DE83" w14:textId="77777777">
      <w:pPr>
        <w:spacing w:after="0" w:line="300" w:lineRule="atLeast"/>
        <w:rPr>
          <w:rFonts w:eastAsia="Times New Roman" w:cstheme="minorHAnsi"/>
          <w:kern w:val="0"/>
          <w14:ligatures w14:val="none"/>
        </w:rPr>
      </w:pPr>
      <w:r w:rsidRPr="00A161BA">
        <w:rPr>
          <w:rFonts w:eastAsia="Times New Roman" w:cstheme="minorHAnsi"/>
          <w:kern w:val="0"/>
          <w14:ligatures w14:val="none"/>
        </w:rPr>
        <w:t xml:space="preserve">Beadle, J. (2025, January 10). </w:t>
      </w:r>
      <w:r w:rsidRPr="00A161BA">
        <w:rPr>
          <w:rFonts w:eastAsia="Times New Roman" w:cstheme="minorHAnsi"/>
          <w:i/>
          <w:iCs/>
          <w:kern w:val="0"/>
          <w14:ligatures w14:val="none"/>
        </w:rPr>
        <w:t>What and why do we assess in the classroom?</w:t>
      </w:r>
      <w:r w:rsidRPr="00A161BA">
        <w:rPr>
          <w:rFonts w:eastAsia="Times New Roman" w:cstheme="minorHAnsi"/>
          <w:kern w:val="0"/>
          <w14:ligatures w14:val="none"/>
        </w:rPr>
        <w:t xml:space="preserve"> Cambridge Assessment Network and Research. </w:t>
      </w:r>
      <w:hyperlink w:history="1" r:id="rId14">
        <w:r w:rsidRPr="000B23D5">
          <w:rPr>
            <w:rStyle w:val="Hyperlink"/>
            <w:rFonts w:eastAsia="Times New Roman" w:cstheme="minorHAnsi"/>
            <w:kern w:val="0"/>
            <w14:ligatures w14:val="none"/>
          </w:rPr>
          <w:t>https://www.cambridgeassessment.org.uk/blogs/what-and-why-do-we-assess-in-the-classroom/</w:t>
        </w:r>
      </w:hyperlink>
      <w:r>
        <w:rPr>
          <w:rFonts w:eastAsia="Times New Roman" w:cstheme="minorHAnsi"/>
          <w:kern w:val="0"/>
          <w14:ligatures w14:val="none"/>
        </w:rPr>
        <w:t xml:space="preserve"> </w:t>
      </w:r>
    </w:p>
    <w:p w:rsidRPr="00A161BA" w:rsidR="00E510AD" w:rsidP="00E510AD" w:rsidRDefault="00E510AD" w14:paraId="33E60F72" w14:textId="77777777">
      <w:pPr>
        <w:spacing w:after="0" w:line="300" w:lineRule="atLeast"/>
        <w:rPr>
          <w:rFonts w:eastAsia="Times New Roman" w:cstheme="minorHAnsi"/>
          <w:kern w:val="0"/>
          <w14:ligatures w14:val="none"/>
        </w:rPr>
      </w:pPr>
    </w:p>
    <w:p w:rsidR="00E510AD" w:rsidP="00E510AD" w:rsidRDefault="00E510AD" w14:paraId="1BEB69AC" w14:textId="77777777">
      <w:pPr>
        <w:spacing w:after="0" w:line="300" w:lineRule="atLeast"/>
        <w:rPr>
          <w:rFonts w:eastAsia="Times New Roman" w:cstheme="minorHAnsi"/>
          <w:kern w:val="0"/>
          <w14:ligatures w14:val="none"/>
        </w:rPr>
      </w:pPr>
      <w:r w:rsidRPr="003B1038">
        <w:rPr>
          <w:rFonts w:eastAsia="Times New Roman" w:cstheme="minorHAnsi"/>
          <w:kern w:val="0"/>
          <w14:ligatures w14:val="none"/>
        </w:rPr>
        <w:t xml:space="preserve">British Columbia Institute of Technology. (2010). </w:t>
      </w:r>
      <w:r w:rsidRPr="003B1038">
        <w:rPr>
          <w:rFonts w:eastAsia="Times New Roman" w:cstheme="minorHAnsi"/>
          <w:i/>
          <w:iCs/>
          <w:kern w:val="0"/>
          <w14:ligatures w14:val="none"/>
        </w:rPr>
        <w:t>Developing checklists and rating scales</w:t>
      </w:r>
      <w:r w:rsidRPr="003B1038">
        <w:rPr>
          <w:rFonts w:eastAsia="Times New Roman" w:cstheme="minorHAnsi"/>
          <w:kern w:val="0"/>
          <w14:ligatures w14:val="none"/>
        </w:rPr>
        <w:t xml:space="preserve">. Learning and Teaching Centre. </w:t>
      </w:r>
      <w:hyperlink w:history="1" r:id="rId15">
        <w:r w:rsidRPr="000B23D5">
          <w:rPr>
            <w:rStyle w:val="Hyperlink"/>
            <w:rFonts w:eastAsia="Times New Roman" w:cstheme="minorHAnsi"/>
            <w:kern w:val="0"/>
            <w14:ligatures w14:val="none"/>
          </w:rPr>
          <w:t>https://www.bcit.ca/files/ltc/pdf/ja_developchecklists.pdf</w:t>
        </w:r>
      </w:hyperlink>
      <w:r>
        <w:rPr>
          <w:rFonts w:eastAsia="Times New Roman" w:cstheme="minorHAnsi"/>
          <w:kern w:val="0"/>
          <w14:ligatures w14:val="none"/>
        </w:rPr>
        <w:t xml:space="preserve"> </w:t>
      </w:r>
    </w:p>
    <w:p w:rsidR="00E510AD" w:rsidP="00E510AD" w:rsidRDefault="00E510AD" w14:paraId="3141BC7C" w14:textId="77777777">
      <w:pPr>
        <w:spacing w:after="0" w:line="300" w:lineRule="atLeast"/>
        <w:rPr>
          <w:rFonts w:eastAsia="Times New Roman" w:cstheme="minorHAnsi"/>
          <w:kern w:val="0"/>
          <w14:ligatures w14:val="none"/>
        </w:rPr>
      </w:pPr>
    </w:p>
    <w:p w:rsidRPr="00A161BA" w:rsidR="00E510AD" w:rsidP="00E510AD" w:rsidRDefault="00E510AD" w14:paraId="41E8A216" w14:textId="77777777">
      <w:pPr>
        <w:spacing w:after="0" w:line="300" w:lineRule="atLeast"/>
        <w:rPr>
          <w:rFonts w:eastAsia="Times New Roman" w:cstheme="minorHAnsi"/>
          <w:kern w:val="0"/>
          <w14:ligatures w14:val="none"/>
        </w:rPr>
      </w:pPr>
      <w:r w:rsidRPr="00A161BA">
        <w:rPr>
          <w:rFonts w:eastAsia="Times New Roman" w:cstheme="minorHAnsi"/>
          <w:kern w:val="0"/>
          <w14:ligatures w14:val="none"/>
        </w:rPr>
        <w:t xml:space="preserve">Centre for Teaching and Learning, Western University. (n.d.). </w:t>
      </w:r>
      <w:r w:rsidRPr="00A161BA">
        <w:rPr>
          <w:rFonts w:eastAsia="Times New Roman" w:cstheme="minorHAnsi"/>
          <w:i/>
          <w:iCs/>
          <w:kern w:val="0"/>
          <w14:ligatures w14:val="none"/>
        </w:rPr>
        <w:t>Backward course design</w:t>
      </w:r>
      <w:r w:rsidRPr="00A161BA">
        <w:rPr>
          <w:rFonts w:eastAsia="Times New Roman" w:cstheme="minorHAnsi"/>
          <w:kern w:val="0"/>
          <w14:ligatures w14:val="none"/>
        </w:rPr>
        <w:t xml:space="preserve">. Western University. </w:t>
      </w:r>
      <w:hyperlink w:history="1" r:id="rId16">
        <w:r w:rsidRPr="00A161BA">
          <w:rPr>
            <w:rStyle w:val="Hyperlink"/>
            <w:rFonts w:eastAsia="Times New Roman" w:cstheme="minorHAnsi"/>
            <w:kern w:val="0"/>
            <w14:ligatures w14:val="none"/>
          </w:rPr>
          <w:t>https://teaching.uwo.ca/curriculum/coursedesign/backward-design.html</w:t>
        </w:r>
      </w:hyperlink>
    </w:p>
    <w:p w:rsidRPr="00A161BA" w:rsidR="00E510AD" w:rsidP="00E510AD" w:rsidRDefault="00E510AD" w14:paraId="149EF2F2" w14:textId="77777777">
      <w:pPr>
        <w:spacing w:after="0" w:line="300" w:lineRule="atLeast"/>
        <w:rPr>
          <w:rFonts w:eastAsia="Times New Roman" w:cstheme="minorHAnsi"/>
          <w:kern w:val="0"/>
          <w14:ligatures w14:val="none"/>
        </w:rPr>
      </w:pPr>
    </w:p>
    <w:p w:rsidRPr="00A161BA" w:rsidR="00E510AD" w:rsidP="00E510AD" w:rsidRDefault="00E510AD" w14:paraId="30DAF64C" w14:textId="77777777">
      <w:pPr>
        <w:spacing w:after="0" w:line="300" w:lineRule="atLeast"/>
        <w:rPr>
          <w:rFonts w:eastAsia="Times New Roman" w:cstheme="minorHAnsi"/>
          <w:kern w:val="0"/>
          <w14:ligatures w14:val="none"/>
        </w:rPr>
      </w:pPr>
      <w:r w:rsidRPr="00A161BA">
        <w:rPr>
          <w:rFonts w:eastAsia="Times New Roman" w:cstheme="minorHAnsi"/>
          <w:kern w:val="0"/>
          <w14:ligatures w14:val="none"/>
        </w:rPr>
        <w:t xml:space="preserve">Earl, L. M. (2003). </w:t>
      </w:r>
      <w:r w:rsidRPr="00A161BA">
        <w:rPr>
          <w:rFonts w:eastAsia="Times New Roman" w:cstheme="minorHAnsi"/>
          <w:i/>
          <w:iCs/>
          <w:kern w:val="0"/>
          <w14:ligatures w14:val="none"/>
        </w:rPr>
        <w:t>Assessment of learning, for learning, and as learning</w:t>
      </w:r>
      <w:r w:rsidRPr="00A161BA">
        <w:rPr>
          <w:rFonts w:eastAsia="Times New Roman" w:cstheme="minorHAnsi"/>
          <w:kern w:val="0"/>
          <w14:ligatures w14:val="none"/>
        </w:rPr>
        <w:t xml:space="preserve"> (Chapter 3). In </w:t>
      </w:r>
      <w:r w:rsidRPr="00A161BA">
        <w:rPr>
          <w:rFonts w:eastAsia="Times New Roman" w:cstheme="minorHAnsi"/>
          <w:i/>
          <w:iCs/>
          <w:kern w:val="0"/>
          <w14:ligatures w14:val="none"/>
        </w:rPr>
        <w:t>Assessment as learning: Using classroom assessment to maximize student learning</w:t>
      </w:r>
      <w:r w:rsidRPr="00A161BA">
        <w:rPr>
          <w:rFonts w:eastAsia="Times New Roman" w:cstheme="minorHAnsi"/>
          <w:kern w:val="0"/>
          <w14:ligatures w14:val="none"/>
        </w:rPr>
        <w:t xml:space="preserve">. Corwin Press. </w:t>
      </w:r>
      <w:hyperlink w:history="1" r:id="rId17">
        <w:r w:rsidRPr="00A161BA">
          <w:rPr>
            <w:rStyle w:val="Hyperlink"/>
            <w:rFonts w:eastAsia="Times New Roman" w:cstheme="minorHAnsi"/>
            <w:kern w:val="0"/>
            <w14:ligatures w14:val="none"/>
          </w:rPr>
          <w:t>https://web.uvic.ca/~thopper/iweb09/GillPaul/Site/Assessment_files/Assessment.pdf</w:t>
        </w:r>
      </w:hyperlink>
    </w:p>
    <w:p w:rsidRPr="00A161BA" w:rsidR="00E510AD" w:rsidP="00E510AD" w:rsidRDefault="00E510AD" w14:paraId="5B2786EB" w14:textId="77777777">
      <w:pPr>
        <w:spacing w:after="0" w:line="300" w:lineRule="atLeast"/>
        <w:rPr>
          <w:rFonts w:eastAsia="Times New Roman" w:cstheme="minorHAnsi"/>
          <w:kern w:val="0"/>
          <w14:ligatures w14:val="none"/>
        </w:rPr>
      </w:pPr>
    </w:p>
    <w:p w:rsidR="00E510AD" w:rsidP="00E510AD" w:rsidRDefault="00E510AD" w14:paraId="166FBFE3" w14:textId="77777777">
      <w:pPr>
        <w:spacing w:after="0" w:line="300" w:lineRule="atLeast"/>
        <w:rPr>
          <w:rFonts w:eastAsia="Times New Roman" w:cstheme="minorHAnsi"/>
          <w:kern w:val="0"/>
          <w14:ligatures w14:val="none"/>
        </w:rPr>
      </w:pPr>
      <w:r w:rsidRPr="009B7F4F">
        <w:rPr>
          <w:rFonts w:eastAsia="Times New Roman" w:cstheme="minorHAnsi"/>
          <w:kern w:val="0"/>
          <w14:ligatures w14:val="none"/>
        </w:rPr>
        <w:t xml:space="preserve">Elkhoury, E. (2021). </w:t>
      </w:r>
      <w:r w:rsidRPr="009B7F4F">
        <w:rPr>
          <w:rFonts w:eastAsia="Times New Roman" w:cstheme="minorHAnsi"/>
          <w:i/>
          <w:iCs/>
          <w:kern w:val="0"/>
          <w14:ligatures w14:val="none"/>
        </w:rPr>
        <w:t>A guide to large classroom assessments</w:t>
      </w:r>
      <w:r w:rsidRPr="009B7F4F">
        <w:rPr>
          <w:rFonts w:eastAsia="Times New Roman" w:cstheme="minorHAnsi"/>
          <w:kern w:val="0"/>
          <w14:ligatures w14:val="none"/>
        </w:rPr>
        <w:t xml:space="preserve"> (Version 1.2). Teaching Commons, York University. </w:t>
      </w:r>
      <w:hyperlink w:history="1" r:id="rId18">
        <w:r w:rsidRPr="000B23D5">
          <w:rPr>
            <w:rStyle w:val="Hyperlink"/>
            <w:rFonts w:eastAsia="Times New Roman" w:cstheme="minorHAnsi"/>
            <w:kern w:val="0"/>
            <w14:ligatures w14:val="none"/>
          </w:rPr>
          <w:t>https://www.yorku.ca/teachingcommons/wp-content/uploads/sites/38/2021/02/Guide_large_classroom_assessments_FINALa.pdf</w:t>
        </w:r>
      </w:hyperlink>
      <w:r>
        <w:rPr>
          <w:rFonts w:eastAsia="Times New Roman" w:cstheme="minorHAnsi"/>
          <w:kern w:val="0"/>
          <w14:ligatures w14:val="none"/>
        </w:rPr>
        <w:t xml:space="preserve"> </w:t>
      </w:r>
    </w:p>
    <w:p w:rsidR="00E510AD" w:rsidP="00E510AD" w:rsidRDefault="00E510AD" w14:paraId="58212B20" w14:textId="77777777">
      <w:pPr>
        <w:spacing w:after="0" w:line="300" w:lineRule="atLeast"/>
        <w:rPr>
          <w:rFonts w:eastAsia="Times New Roman" w:cstheme="minorHAnsi"/>
          <w:kern w:val="0"/>
          <w14:ligatures w14:val="none"/>
        </w:rPr>
      </w:pPr>
    </w:p>
    <w:p w:rsidRPr="0016643E" w:rsidR="00E510AD" w:rsidP="00E510AD" w:rsidRDefault="00E510AD" w14:paraId="0B80454B" w14:textId="77777777">
      <w:pPr>
        <w:spacing w:after="0" w:line="300" w:lineRule="atLeast"/>
        <w:rPr>
          <w:rFonts w:eastAsia="Times New Roman" w:cstheme="minorHAnsi"/>
          <w:kern w:val="0"/>
          <w14:ligatures w14:val="none"/>
        </w:rPr>
      </w:pPr>
      <w:proofErr w:type="spellStart"/>
      <w:r w:rsidRPr="0016643E">
        <w:rPr>
          <w:rFonts w:eastAsia="Times New Roman" w:cstheme="minorHAnsi"/>
          <w:kern w:val="0"/>
          <w14:ligatures w14:val="none"/>
        </w:rPr>
        <w:t>Fleckney</w:t>
      </w:r>
      <w:proofErr w:type="spellEnd"/>
      <w:r w:rsidRPr="0016643E">
        <w:rPr>
          <w:rFonts w:eastAsia="Times New Roman" w:cstheme="minorHAnsi"/>
          <w:kern w:val="0"/>
          <w14:ligatures w14:val="none"/>
        </w:rPr>
        <w:t xml:space="preserve">, P., Thompson, J., &amp; Vaz-Serra, P. (2025). </w:t>
      </w:r>
      <w:r w:rsidRPr="0016643E">
        <w:rPr>
          <w:rFonts w:eastAsia="Times New Roman" w:cstheme="minorHAnsi"/>
          <w:i/>
          <w:iCs/>
          <w:kern w:val="0"/>
          <w14:ligatures w14:val="none"/>
        </w:rPr>
        <w:t>Designing effective peer assessment processes in higher education: A systematic review</w:t>
      </w:r>
      <w:r w:rsidRPr="0016643E">
        <w:rPr>
          <w:rFonts w:eastAsia="Times New Roman" w:cstheme="minorHAnsi"/>
          <w:kern w:val="0"/>
          <w14:ligatures w14:val="none"/>
        </w:rPr>
        <w:t xml:space="preserve">. </w:t>
      </w:r>
      <w:r w:rsidRPr="0016643E">
        <w:rPr>
          <w:rFonts w:eastAsia="Times New Roman" w:cstheme="minorHAnsi"/>
          <w:i/>
          <w:iCs/>
          <w:kern w:val="0"/>
          <w14:ligatures w14:val="none"/>
        </w:rPr>
        <w:t>Higher Education Research &amp; Development, 44</w:t>
      </w:r>
      <w:r w:rsidRPr="0016643E">
        <w:rPr>
          <w:rFonts w:eastAsia="Times New Roman" w:cstheme="minorHAnsi"/>
          <w:kern w:val="0"/>
          <w14:ligatures w14:val="none"/>
        </w:rPr>
        <w:t xml:space="preserve">(2), 386–401. </w:t>
      </w:r>
      <w:hyperlink w:history="1" r:id="rId19">
        <w:r w:rsidRPr="000B23D5">
          <w:rPr>
            <w:rStyle w:val="Hyperlink"/>
            <w:rFonts w:eastAsia="Times New Roman" w:cstheme="minorHAnsi"/>
            <w:kern w:val="0"/>
            <w14:ligatures w14:val="none"/>
          </w:rPr>
          <w:t>https://doi.org/10.1080/07294360.2024.2407083</w:t>
        </w:r>
      </w:hyperlink>
      <w:r>
        <w:rPr>
          <w:rFonts w:eastAsia="Times New Roman" w:cstheme="minorHAnsi"/>
          <w:kern w:val="0"/>
          <w14:ligatures w14:val="none"/>
        </w:rPr>
        <w:t xml:space="preserve"> </w:t>
      </w:r>
    </w:p>
    <w:p w:rsidR="00E510AD" w:rsidP="00E510AD" w:rsidRDefault="00E510AD" w14:paraId="52EEF97B" w14:textId="77777777">
      <w:pPr>
        <w:spacing w:after="0" w:line="300" w:lineRule="atLeast"/>
        <w:rPr>
          <w:rFonts w:eastAsia="Times New Roman" w:cstheme="minorHAnsi"/>
          <w:kern w:val="0"/>
          <w14:ligatures w14:val="none"/>
        </w:rPr>
      </w:pPr>
    </w:p>
    <w:p w:rsidR="00E510AD" w:rsidP="00E510AD" w:rsidRDefault="00E510AD" w14:paraId="34E5B61B" w14:textId="77777777">
      <w:pPr>
        <w:spacing w:after="0" w:line="300" w:lineRule="atLeast"/>
        <w:rPr>
          <w:rFonts w:eastAsia="Times New Roman" w:cstheme="minorHAnsi"/>
          <w:kern w:val="0"/>
          <w14:ligatures w14:val="none"/>
        </w:rPr>
      </w:pPr>
      <w:r w:rsidRPr="00B06384">
        <w:rPr>
          <w:rFonts w:eastAsia="Times New Roman" w:cstheme="minorHAnsi"/>
          <w:kern w:val="0"/>
          <w14:ligatures w14:val="none"/>
        </w:rPr>
        <w:lastRenderedPageBreak/>
        <w:t xml:space="preserve">Foster, S. (2023, October 31). </w:t>
      </w:r>
      <w:r w:rsidRPr="00B06384">
        <w:rPr>
          <w:rFonts w:eastAsia="Times New Roman" w:cstheme="minorHAnsi"/>
          <w:i/>
          <w:iCs/>
          <w:kern w:val="0"/>
          <w14:ligatures w14:val="none"/>
        </w:rPr>
        <w:t>Effective assessment methods for large enrolment classes</w:t>
      </w:r>
      <w:r w:rsidRPr="00B06384">
        <w:rPr>
          <w:rFonts w:eastAsia="Times New Roman" w:cstheme="minorHAnsi"/>
          <w:kern w:val="0"/>
          <w14:ligatures w14:val="none"/>
        </w:rPr>
        <w:t xml:space="preserve">. Times Higher Education Campus. </w:t>
      </w:r>
      <w:hyperlink w:history="1" r:id="rId20">
        <w:r w:rsidRPr="000B23D5">
          <w:rPr>
            <w:rStyle w:val="Hyperlink"/>
            <w:rFonts w:eastAsia="Times New Roman" w:cstheme="minorHAnsi"/>
            <w:kern w:val="0"/>
            <w14:ligatures w14:val="none"/>
          </w:rPr>
          <w:t>https://www.timeshighereducation.com/campus/effective-assessment-methods-large-enrolment-classes</w:t>
        </w:r>
      </w:hyperlink>
      <w:r>
        <w:rPr>
          <w:rFonts w:eastAsia="Times New Roman" w:cstheme="minorHAnsi"/>
          <w:kern w:val="0"/>
          <w14:ligatures w14:val="none"/>
        </w:rPr>
        <w:t xml:space="preserve"> </w:t>
      </w:r>
    </w:p>
    <w:p w:rsidR="00E510AD" w:rsidP="00E510AD" w:rsidRDefault="00E510AD" w14:paraId="6B87FC27" w14:textId="77777777">
      <w:pPr>
        <w:spacing w:after="0" w:line="300" w:lineRule="atLeast"/>
        <w:rPr>
          <w:rFonts w:eastAsia="Times New Roman" w:cstheme="minorHAnsi"/>
          <w:kern w:val="0"/>
          <w14:ligatures w14:val="none"/>
        </w:rPr>
      </w:pPr>
    </w:p>
    <w:p w:rsidRPr="00A161BA" w:rsidR="00E510AD" w:rsidP="00E510AD" w:rsidRDefault="00E510AD" w14:paraId="5AE155E8" w14:textId="77777777">
      <w:pPr>
        <w:spacing w:after="0" w:line="300" w:lineRule="atLeast"/>
        <w:rPr>
          <w:rFonts w:eastAsia="Times New Roman" w:cstheme="minorHAnsi"/>
          <w:kern w:val="0"/>
          <w14:ligatures w14:val="none"/>
        </w:rPr>
      </w:pPr>
      <w:r w:rsidRPr="00A161BA">
        <w:rPr>
          <w:rFonts w:eastAsia="Times New Roman" w:cstheme="minorHAnsi"/>
          <w:kern w:val="0"/>
          <w14:ligatures w14:val="none"/>
        </w:rPr>
        <w:t xml:space="preserve">Levy-Feldman, I. (2025). </w:t>
      </w:r>
      <w:r w:rsidRPr="00A161BA">
        <w:rPr>
          <w:rFonts w:eastAsia="Times New Roman" w:cstheme="minorHAnsi"/>
          <w:i/>
          <w:iCs/>
          <w:kern w:val="0"/>
          <w14:ligatures w14:val="none"/>
        </w:rPr>
        <w:t>The role of assessment in improving education and promoting educational equity</w:t>
      </w:r>
      <w:r w:rsidRPr="00A161BA">
        <w:rPr>
          <w:rFonts w:eastAsia="Times New Roman" w:cstheme="minorHAnsi"/>
          <w:kern w:val="0"/>
          <w14:ligatures w14:val="none"/>
        </w:rPr>
        <w:t xml:space="preserve">. </w:t>
      </w:r>
      <w:r w:rsidRPr="00A161BA">
        <w:rPr>
          <w:rFonts w:eastAsia="Times New Roman" w:cstheme="minorHAnsi"/>
          <w:i/>
          <w:iCs/>
          <w:kern w:val="0"/>
          <w14:ligatures w14:val="none"/>
        </w:rPr>
        <w:t>Education Sciences, 15</w:t>
      </w:r>
      <w:r w:rsidRPr="00A161BA">
        <w:rPr>
          <w:rFonts w:eastAsia="Times New Roman" w:cstheme="minorHAnsi"/>
          <w:kern w:val="0"/>
          <w14:ligatures w14:val="none"/>
        </w:rPr>
        <w:t xml:space="preserve">(2), 224. </w:t>
      </w:r>
      <w:hyperlink w:history="1" r:id="rId21">
        <w:r w:rsidRPr="00A161BA">
          <w:rPr>
            <w:rStyle w:val="Hyperlink"/>
            <w:rFonts w:eastAsia="Times New Roman" w:cstheme="minorHAnsi"/>
            <w:kern w:val="0"/>
            <w14:ligatures w14:val="none"/>
          </w:rPr>
          <w:t>https://doi.org/10.3390/educsci15020224</w:t>
        </w:r>
      </w:hyperlink>
    </w:p>
    <w:p w:rsidRPr="00A161BA" w:rsidR="00E510AD" w:rsidP="00E510AD" w:rsidRDefault="00E510AD" w14:paraId="11A99B26" w14:textId="77777777">
      <w:pPr>
        <w:spacing w:after="0" w:line="300" w:lineRule="atLeast"/>
        <w:rPr>
          <w:rFonts w:eastAsia="Times New Roman" w:cstheme="minorHAnsi"/>
          <w:kern w:val="0"/>
          <w14:ligatures w14:val="none"/>
        </w:rPr>
      </w:pPr>
    </w:p>
    <w:p w:rsidR="00E510AD" w:rsidP="00E510AD" w:rsidRDefault="00E510AD" w14:paraId="32B1A991" w14:textId="77777777">
      <w:pPr>
        <w:spacing w:after="0" w:line="300" w:lineRule="atLeast"/>
        <w:rPr>
          <w:rFonts w:eastAsia="Times New Roman" w:cstheme="minorHAnsi"/>
          <w:kern w:val="0"/>
          <w14:ligatures w14:val="none"/>
        </w:rPr>
      </w:pPr>
      <w:r w:rsidRPr="00F95243">
        <w:rPr>
          <w:rFonts w:eastAsia="Times New Roman" w:cstheme="minorHAnsi"/>
          <w:kern w:val="0"/>
          <w14:ligatures w14:val="none"/>
        </w:rPr>
        <w:t xml:space="preserve">Moss, P. (2024, February 23). </w:t>
      </w:r>
      <w:r w:rsidRPr="00F95243">
        <w:rPr>
          <w:rFonts w:eastAsia="Times New Roman" w:cstheme="minorHAnsi"/>
          <w:i/>
          <w:iCs/>
          <w:kern w:val="0"/>
          <w14:ligatures w14:val="none"/>
        </w:rPr>
        <w:t>Cut down your marking time by using whole-class feedback</w:t>
      </w:r>
      <w:r w:rsidRPr="00F95243">
        <w:rPr>
          <w:rFonts w:eastAsia="Times New Roman" w:cstheme="minorHAnsi"/>
          <w:kern w:val="0"/>
          <w14:ligatures w14:val="none"/>
        </w:rPr>
        <w:t xml:space="preserve">. Times Higher Education Campus. </w:t>
      </w:r>
      <w:hyperlink w:history="1" r:id="rId22">
        <w:r w:rsidRPr="000B23D5">
          <w:rPr>
            <w:rStyle w:val="Hyperlink"/>
            <w:rFonts w:eastAsia="Times New Roman" w:cstheme="minorHAnsi"/>
            <w:kern w:val="0"/>
            <w14:ligatures w14:val="none"/>
          </w:rPr>
          <w:t>https://www.timeshighereducation.com/campus/cut-down-your-marking-time-using-wholeclass-feedback</w:t>
        </w:r>
      </w:hyperlink>
      <w:r>
        <w:rPr>
          <w:rFonts w:eastAsia="Times New Roman" w:cstheme="minorHAnsi"/>
          <w:kern w:val="0"/>
          <w14:ligatures w14:val="none"/>
        </w:rPr>
        <w:t xml:space="preserve"> </w:t>
      </w:r>
    </w:p>
    <w:p w:rsidR="00E510AD" w:rsidP="00E510AD" w:rsidRDefault="00E510AD" w14:paraId="64C2F252" w14:textId="77777777">
      <w:pPr>
        <w:spacing w:after="0" w:line="300" w:lineRule="atLeast"/>
        <w:rPr>
          <w:rFonts w:eastAsia="Times New Roman" w:cstheme="minorHAnsi"/>
          <w:kern w:val="0"/>
          <w14:ligatures w14:val="none"/>
        </w:rPr>
      </w:pPr>
    </w:p>
    <w:p w:rsidR="00E510AD" w:rsidP="00E510AD" w:rsidRDefault="00E510AD" w14:paraId="25D71B0B" w14:textId="77777777">
      <w:pPr>
        <w:spacing w:after="0" w:line="300" w:lineRule="atLeast"/>
        <w:rPr>
          <w:rFonts w:eastAsia="Times New Roman" w:cstheme="minorHAnsi"/>
          <w:kern w:val="0"/>
          <w14:ligatures w14:val="none"/>
        </w:rPr>
      </w:pPr>
      <w:proofErr w:type="spellStart"/>
      <w:r w:rsidRPr="0097374E">
        <w:rPr>
          <w:rFonts w:eastAsia="Times New Roman" w:cstheme="minorHAnsi"/>
          <w:kern w:val="0"/>
          <w14:ligatures w14:val="none"/>
        </w:rPr>
        <w:t>Orsmond</w:t>
      </w:r>
      <w:proofErr w:type="spellEnd"/>
      <w:r w:rsidRPr="0097374E">
        <w:rPr>
          <w:rFonts w:eastAsia="Times New Roman" w:cstheme="minorHAnsi"/>
          <w:kern w:val="0"/>
          <w14:ligatures w14:val="none"/>
        </w:rPr>
        <w:t xml:space="preserve">, P., Maw, S. J., Park, J. R., Gomez, S., &amp; Crook, A. C. (2013). </w:t>
      </w:r>
      <w:r w:rsidRPr="0097374E">
        <w:rPr>
          <w:rFonts w:eastAsia="Times New Roman" w:cstheme="minorHAnsi"/>
          <w:i/>
          <w:iCs/>
          <w:kern w:val="0"/>
          <w14:ligatures w14:val="none"/>
        </w:rPr>
        <w:t>Moving feedback forward: Theory to practice</w:t>
      </w:r>
      <w:r w:rsidRPr="0097374E">
        <w:rPr>
          <w:rFonts w:eastAsia="Times New Roman" w:cstheme="minorHAnsi"/>
          <w:kern w:val="0"/>
          <w14:ligatures w14:val="none"/>
        </w:rPr>
        <w:t xml:space="preserve">. </w:t>
      </w:r>
      <w:r w:rsidRPr="0097374E">
        <w:rPr>
          <w:rFonts w:eastAsia="Times New Roman" w:cstheme="minorHAnsi"/>
          <w:i/>
          <w:iCs/>
          <w:kern w:val="0"/>
          <w14:ligatures w14:val="none"/>
        </w:rPr>
        <w:t>Assessment &amp; Evaluation in Higher Education, 38</w:t>
      </w:r>
      <w:r w:rsidRPr="0097374E">
        <w:rPr>
          <w:rFonts w:eastAsia="Times New Roman" w:cstheme="minorHAnsi"/>
          <w:kern w:val="0"/>
          <w14:ligatures w14:val="none"/>
        </w:rPr>
        <w:t xml:space="preserve">(2), 240–252. </w:t>
      </w:r>
      <w:hyperlink w:history="1" r:id="rId23">
        <w:r w:rsidRPr="000B23D5">
          <w:rPr>
            <w:rStyle w:val="Hyperlink"/>
            <w:rFonts w:eastAsia="Times New Roman" w:cstheme="minorHAnsi"/>
            <w:kern w:val="0"/>
            <w14:ligatures w14:val="none"/>
          </w:rPr>
          <w:t>https://doi.org/10.1080/02602938.2011.625472</w:t>
        </w:r>
      </w:hyperlink>
      <w:r>
        <w:rPr>
          <w:rFonts w:eastAsia="Times New Roman" w:cstheme="minorHAnsi"/>
          <w:kern w:val="0"/>
          <w14:ligatures w14:val="none"/>
        </w:rPr>
        <w:t xml:space="preserve"> </w:t>
      </w:r>
    </w:p>
    <w:p w:rsidR="00E510AD" w:rsidP="00E510AD" w:rsidRDefault="00E510AD" w14:paraId="48353403" w14:textId="77777777">
      <w:pPr>
        <w:spacing w:after="0" w:line="300" w:lineRule="atLeast"/>
        <w:rPr>
          <w:rFonts w:eastAsia="Times New Roman" w:cstheme="minorHAnsi"/>
          <w:kern w:val="0"/>
          <w14:ligatures w14:val="none"/>
        </w:rPr>
      </w:pPr>
    </w:p>
    <w:p w:rsidR="00E510AD" w:rsidP="00E510AD" w:rsidRDefault="00E510AD" w14:paraId="3C1927B7" w14:textId="77777777">
      <w:pPr>
        <w:spacing w:after="0" w:line="300" w:lineRule="atLeast"/>
        <w:rPr>
          <w:rFonts w:eastAsia="Times New Roman" w:cstheme="minorHAnsi"/>
          <w:kern w:val="0"/>
          <w14:ligatures w14:val="none"/>
        </w:rPr>
      </w:pPr>
      <w:r w:rsidRPr="00A161BA">
        <w:rPr>
          <w:rFonts w:eastAsia="Times New Roman" w:cstheme="minorHAnsi"/>
          <w:kern w:val="0"/>
          <w14:ligatures w14:val="none"/>
        </w:rPr>
        <w:t xml:space="preserve">Prozesky D. Assessment of learning. Community Eye Health. 2001;14(38):27-8. PMID: 17491913; PMCID: PMC1705919. </w:t>
      </w:r>
      <w:hyperlink w:history="1" r:id="rId24">
        <w:r w:rsidRPr="00A161BA">
          <w:rPr>
            <w:rStyle w:val="Hyperlink"/>
            <w:rFonts w:eastAsia="Times New Roman" w:cstheme="minorHAnsi"/>
            <w:kern w:val="0"/>
            <w14:ligatures w14:val="none"/>
          </w:rPr>
          <w:t>https://pmc.ncbi.nlm.nih.gov/articles/PMC1705919/</w:t>
        </w:r>
      </w:hyperlink>
      <w:r w:rsidRPr="00A161BA">
        <w:rPr>
          <w:rFonts w:eastAsia="Times New Roman" w:cstheme="minorHAnsi"/>
          <w:kern w:val="0"/>
          <w14:ligatures w14:val="none"/>
        </w:rPr>
        <w:t xml:space="preserve"> </w:t>
      </w:r>
    </w:p>
    <w:p w:rsidR="00E510AD" w:rsidP="00E510AD" w:rsidRDefault="00E510AD" w14:paraId="2C155C0B" w14:textId="77777777">
      <w:pPr>
        <w:spacing w:after="0" w:line="300" w:lineRule="atLeast"/>
        <w:rPr>
          <w:rFonts w:eastAsia="Times New Roman" w:cstheme="minorHAnsi"/>
          <w:kern w:val="0"/>
          <w14:ligatures w14:val="none"/>
        </w:rPr>
      </w:pPr>
    </w:p>
    <w:p w:rsidR="00E510AD" w:rsidP="00E510AD" w:rsidRDefault="00E510AD" w14:paraId="4A78CD30" w14:textId="77777777">
      <w:pPr>
        <w:rPr>
          <w:rFonts w:eastAsia="Times New Roman" w:cstheme="minorHAnsi"/>
          <w:kern w:val="0"/>
          <w14:ligatures w14:val="none"/>
        </w:rPr>
      </w:pPr>
      <w:r w:rsidRPr="00425137">
        <w:rPr>
          <w:rFonts w:eastAsia="Times New Roman" w:cstheme="minorHAnsi"/>
          <w:kern w:val="0"/>
          <w14:ligatures w14:val="none"/>
        </w:rPr>
        <w:t xml:space="preserve">Saeed, N., &amp; Mohamedali, F. (2022). A Study to Evaluate Students’ Performance, Engagement, and Progression in Higher Education Based on Feedforward Teaching Approach. </w:t>
      </w:r>
      <w:r w:rsidRPr="00425137">
        <w:rPr>
          <w:rFonts w:eastAsia="Times New Roman" w:cstheme="minorHAnsi"/>
          <w:i/>
          <w:iCs/>
          <w:kern w:val="0"/>
          <w14:ligatures w14:val="none"/>
        </w:rPr>
        <w:t>Education Sciences, 12</w:t>
      </w:r>
      <w:r w:rsidRPr="00425137">
        <w:rPr>
          <w:rFonts w:eastAsia="Times New Roman" w:cstheme="minorHAnsi"/>
          <w:kern w:val="0"/>
          <w14:ligatures w14:val="none"/>
        </w:rPr>
        <w:t xml:space="preserve">(1), 56. </w:t>
      </w:r>
      <w:hyperlink w:history="1" r:id="rId25">
        <w:r w:rsidRPr="000B23D5">
          <w:rPr>
            <w:rStyle w:val="Hyperlink"/>
            <w:rFonts w:eastAsia="Times New Roman" w:cstheme="minorHAnsi"/>
            <w:kern w:val="0"/>
            <w14:ligatures w14:val="none"/>
          </w:rPr>
          <w:t>https://doi.org/10.3390/educsci12010056</w:t>
        </w:r>
      </w:hyperlink>
      <w:r>
        <w:rPr>
          <w:rFonts w:eastAsia="Times New Roman" w:cstheme="minorHAnsi"/>
          <w:kern w:val="0"/>
          <w14:ligatures w14:val="none"/>
        </w:rPr>
        <w:t xml:space="preserve"> </w:t>
      </w:r>
    </w:p>
    <w:p w:rsidR="00E510AD" w:rsidP="00E510AD" w:rsidRDefault="00E510AD" w14:paraId="17649750" w14:textId="77777777">
      <w:pPr>
        <w:spacing w:after="0" w:line="300" w:lineRule="atLeast"/>
        <w:rPr>
          <w:rFonts w:eastAsia="Times New Roman" w:cstheme="minorHAnsi"/>
          <w:kern w:val="0"/>
          <w14:ligatures w14:val="none"/>
        </w:rPr>
      </w:pPr>
      <w:r w:rsidRPr="00BE13A9">
        <w:rPr>
          <w:rFonts w:eastAsia="Times New Roman" w:cstheme="minorHAnsi"/>
          <w:kern w:val="0"/>
          <w14:ligatures w14:val="none"/>
        </w:rPr>
        <w:t xml:space="preserve">Schellekens, L. H., Bok, H. G. J., de Jong, L. H., van der Schaaf, M. F., Kremer, W. D. J., &amp; van der Vleuten, C. P. M. (2021). </w:t>
      </w:r>
      <w:r w:rsidRPr="00BE13A9">
        <w:rPr>
          <w:rFonts w:eastAsia="Times New Roman" w:cstheme="minorHAnsi"/>
          <w:i/>
          <w:iCs/>
          <w:kern w:val="0"/>
          <w14:ligatures w14:val="none"/>
        </w:rPr>
        <w:t>A scoping review on the notions of Assessment as Learning (</w:t>
      </w:r>
      <w:proofErr w:type="spellStart"/>
      <w:r w:rsidRPr="00BE13A9">
        <w:rPr>
          <w:rFonts w:eastAsia="Times New Roman" w:cstheme="minorHAnsi"/>
          <w:i/>
          <w:iCs/>
          <w:kern w:val="0"/>
          <w14:ligatures w14:val="none"/>
        </w:rPr>
        <w:t>AaL</w:t>
      </w:r>
      <w:proofErr w:type="spellEnd"/>
      <w:r w:rsidRPr="00BE13A9">
        <w:rPr>
          <w:rFonts w:eastAsia="Times New Roman" w:cstheme="minorHAnsi"/>
          <w:i/>
          <w:iCs/>
          <w:kern w:val="0"/>
          <w14:ligatures w14:val="none"/>
        </w:rPr>
        <w:t>), Assessment for Learning (</w:t>
      </w:r>
      <w:proofErr w:type="spellStart"/>
      <w:r w:rsidRPr="00BE13A9">
        <w:rPr>
          <w:rFonts w:eastAsia="Times New Roman" w:cstheme="minorHAnsi"/>
          <w:i/>
          <w:iCs/>
          <w:kern w:val="0"/>
          <w14:ligatures w14:val="none"/>
        </w:rPr>
        <w:t>AfL</w:t>
      </w:r>
      <w:proofErr w:type="spellEnd"/>
      <w:r w:rsidRPr="00BE13A9">
        <w:rPr>
          <w:rFonts w:eastAsia="Times New Roman" w:cstheme="minorHAnsi"/>
          <w:i/>
          <w:iCs/>
          <w:kern w:val="0"/>
          <w14:ligatures w14:val="none"/>
        </w:rPr>
        <w:t>), and Assessment of Learning (</w:t>
      </w:r>
      <w:proofErr w:type="spellStart"/>
      <w:r w:rsidRPr="00BE13A9">
        <w:rPr>
          <w:rFonts w:eastAsia="Times New Roman" w:cstheme="minorHAnsi"/>
          <w:i/>
          <w:iCs/>
          <w:kern w:val="0"/>
          <w14:ligatures w14:val="none"/>
        </w:rPr>
        <w:t>AoL</w:t>
      </w:r>
      <w:proofErr w:type="spellEnd"/>
      <w:r w:rsidRPr="00BE13A9">
        <w:rPr>
          <w:rFonts w:eastAsia="Times New Roman" w:cstheme="minorHAnsi"/>
          <w:i/>
          <w:iCs/>
          <w:kern w:val="0"/>
          <w14:ligatures w14:val="none"/>
        </w:rPr>
        <w:t>)</w:t>
      </w:r>
      <w:r w:rsidRPr="00BE13A9">
        <w:rPr>
          <w:rFonts w:eastAsia="Times New Roman" w:cstheme="minorHAnsi"/>
          <w:kern w:val="0"/>
          <w14:ligatures w14:val="none"/>
        </w:rPr>
        <w:t xml:space="preserve">. </w:t>
      </w:r>
      <w:r w:rsidRPr="00BE13A9">
        <w:rPr>
          <w:rFonts w:eastAsia="Times New Roman" w:cstheme="minorHAnsi"/>
          <w:i/>
          <w:iCs/>
          <w:kern w:val="0"/>
          <w14:ligatures w14:val="none"/>
        </w:rPr>
        <w:t>Studies in Educational Evaluation, 71</w:t>
      </w:r>
      <w:r w:rsidRPr="00BE13A9">
        <w:rPr>
          <w:rFonts w:eastAsia="Times New Roman" w:cstheme="minorHAnsi"/>
          <w:kern w:val="0"/>
          <w14:ligatures w14:val="none"/>
        </w:rPr>
        <w:t xml:space="preserve">, 101094. </w:t>
      </w:r>
      <w:hyperlink w:history="1" r:id="rId26">
        <w:r w:rsidRPr="000B23D5">
          <w:rPr>
            <w:rStyle w:val="Hyperlink"/>
            <w:rFonts w:eastAsia="Times New Roman" w:cstheme="minorHAnsi"/>
            <w:kern w:val="0"/>
            <w14:ligatures w14:val="none"/>
          </w:rPr>
          <w:t>https://doi.org/10.1016/j.stueduc.2021.101094</w:t>
        </w:r>
      </w:hyperlink>
      <w:r>
        <w:rPr>
          <w:rFonts w:eastAsia="Times New Roman" w:cstheme="minorHAnsi"/>
          <w:kern w:val="0"/>
          <w14:ligatures w14:val="none"/>
        </w:rPr>
        <w:t xml:space="preserve"> </w:t>
      </w:r>
    </w:p>
    <w:p w:rsidR="00E510AD" w:rsidP="00E510AD" w:rsidRDefault="00E510AD" w14:paraId="090D889F" w14:textId="77777777">
      <w:pPr>
        <w:spacing w:after="0" w:line="300" w:lineRule="atLeast"/>
        <w:rPr>
          <w:rFonts w:eastAsia="Times New Roman" w:cstheme="minorHAnsi"/>
          <w:kern w:val="0"/>
          <w14:ligatures w14:val="none"/>
        </w:rPr>
      </w:pPr>
    </w:p>
    <w:p w:rsidRPr="00F95243" w:rsidR="00E510AD" w:rsidP="00E510AD" w:rsidRDefault="00E510AD" w14:paraId="673EE3D9" w14:textId="77777777">
      <w:pPr>
        <w:spacing w:after="0" w:line="300" w:lineRule="atLeast"/>
        <w:rPr>
          <w:rFonts w:eastAsia="Times New Roman" w:cstheme="minorHAnsi"/>
          <w:kern w:val="0"/>
          <w14:ligatures w14:val="none"/>
        </w:rPr>
      </w:pPr>
      <w:r w:rsidRPr="00F95243">
        <w:rPr>
          <w:rFonts w:eastAsia="Times New Roman" w:cstheme="minorHAnsi"/>
          <w:kern w:val="0"/>
          <w14:ligatures w14:val="none"/>
        </w:rPr>
        <w:t xml:space="preserve">Teaching and Academic Programs, McGill University. (n.d.). </w:t>
      </w:r>
      <w:r w:rsidRPr="00F95243">
        <w:rPr>
          <w:rFonts w:eastAsia="Times New Roman" w:cstheme="minorHAnsi"/>
          <w:i/>
          <w:iCs/>
          <w:kern w:val="0"/>
          <w14:ligatures w14:val="none"/>
        </w:rPr>
        <w:t>Use exemplars to clarify assessment expectations</w:t>
      </w:r>
      <w:r w:rsidRPr="00F95243">
        <w:rPr>
          <w:rFonts w:eastAsia="Times New Roman" w:cstheme="minorHAnsi"/>
          <w:kern w:val="0"/>
          <w14:ligatures w14:val="none"/>
        </w:rPr>
        <w:t xml:space="preserve">. McGill University. </w:t>
      </w:r>
      <w:hyperlink w:history="1" r:id="rId27">
        <w:r w:rsidRPr="000B23D5">
          <w:rPr>
            <w:rStyle w:val="Hyperlink"/>
            <w:rFonts w:eastAsia="Times New Roman" w:cstheme="minorHAnsi"/>
            <w:kern w:val="0"/>
            <w14:ligatures w14:val="none"/>
          </w:rPr>
          <w:t>https://teachingkb.mcgill.ca/tlk/use-exemplars-to-clarify-assessment-expectations</w:t>
        </w:r>
      </w:hyperlink>
      <w:r>
        <w:rPr>
          <w:rFonts w:eastAsia="Times New Roman" w:cstheme="minorHAnsi"/>
          <w:kern w:val="0"/>
          <w14:ligatures w14:val="none"/>
        </w:rPr>
        <w:t xml:space="preserve"> </w:t>
      </w:r>
    </w:p>
    <w:p w:rsidR="00D831B1" w:rsidRDefault="00D831B1" w14:paraId="07FADE2D" w14:textId="77777777"/>
    <w:sectPr w:rsidR="00D831B1">
      <w:headerReference w:type="default" r:id="rId28"/>
      <w:footerReference w:type="default" r:id="rId29"/>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F1F" w:rsidP="004B4CA6" w:rsidRDefault="00632F1F" w14:paraId="1135013D" w14:textId="77777777">
      <w:pPr>
        <w:spacing w:after="0" w:line="240" w:lineRule="auto"/>
      </w:pPr>
      <w:r>
        <w:separator/>
      </w:r>
    </w:p>
  </w:endnote>
  <w:endnote w:type="continuationSeparator" w:id="0">
    <w:p w:rsidR="00632F1F" w:rsidP="004B4CA6" w:rsidRDefault="00632F1F" w14:paraId="12F487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4CA6" w:rsidRDefault="004B4CA6" w14:paraId="7433022D" w14:textId="49633243">
    <w:pPr>
      <w:pStyle w:val="Footer"/>
    </w:pPr>
    <w:r>
      <w:rPr>
        <w:noProof/>
      </w:rPr>
      <w:drawing>
        <wp:anchor distT="0" distB="0" distL="114300" distR="114300" simplePos="0" relativeHeight="251661312" behindDoc="0" locked="0" layoutInCell="1" allowOverlap="1" wp14:anchorId="7D8C0389" wp14:editId="6AB066F6">
          <wp:simplePos x="0" y="0"/>
          <wp:positionH relativeFrom="column">
            <wp:posOffset>4733925</wp:posOffset>
          </wp:positionH>
          <wp:positionV relativeFrom="paragraph">
            <wp:posOffset>-46990</wp:posOffset>
          </wp:positionV>
          <wp:extent cx="1150620" cy="401955"/>
          <wp:effectExtent l="0" t="0" r="5080" b="4445"/>
          <wp:wrapSquare wrapText="bothSides"/>
          <wp:docPr id="41076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401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2BCDBD38" wp14:editId="0EE0DC2C">
              <wp:simplePos x="0" y="0"/>
              <wp:positionH relativeFrom="column">
                <wp:posOffset>-350520</wp:posOffset>
              </wp:positionH>
              <wp:positionV relativeFrom="paragraph">
                <wp:posOffset>-262255</wp:posOffset>
              </wp:positionV>
              <wp:extent cx="5233307" cy="612140"/>
              <wp:effectExtent l="0" t="0" r="0" b="0"/>
              <wp:wrapNone/>
              <wp:docPr id="502122139" name="Rectangle 2"/>
              <wp:cNvGraphicFramePr/>
              <a:graphic xmlns:a="http://schemas.openxmlformats.org/drawingml/2006/main">
                <a:graphicData uri="http://schemas.microsoft.com/office/word/2010/wordprocessingShape">
                  <wps:wsp>
                    <wps:cNvSpPr/>
                    <wps:spPr>
                      <a:xfrm>
                        <a:off x="0" y="0"/>
                        <a:ext cx="5233307" cy="6121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3E4ABB" w:rsidR="004B4CA6" w:rsidP="004B4CA6" w:rsidRDefault="004B4CA6" w14:paraId="09D87B7C" w14:textId="10766F95">
                          <w:pPr>
                            <w:pStyle w:val="Footer"/>
                            <w:rPr>
                              <w:b/>
                              <w:bCs/>
                              <w:sz w:val="22"/>
                              <w:szCs w:val="22"/>
                              <w:u w:val="single"/>
                            </w:rPr>
                          </w:pPr>
                          <w:r w:rsidRPr="003E4ABB">
                            <w:rPr>
                              <w:sz w:val="22"/>
                              <w:szCs w:val="22"/>
                            </w:rPr>
                            <w:t xml:space="preserve">Suggested reference: Centre for Teaching and Learning, Western University (2026). </w:t>
                          </w:r>
                          <w:r w:rsidR="00B07181">
                            <w:rPr>
                              <w:sz w:val="22"/>
                              <w:szCs w:val="22"/>
                            </w:rPr>
                            <w:t>Scaling Assessment for Large Courses</w:t>
                          </w:r>
                          <w:r w:rsidRPr="003E4ABB">
                            <w:rPr>
                              <w:sz w:val="22"/>
                              <w:szCs w:val="22"/>
                            </w:rPr>
                            <w:t>. https://teaching.uwo.ca/elearning/generativeAI-resources.html</w:t>
                          </w:r>
                        </w:p>
                        <w:p w:rsidRPr="00F46B5F" w:rsidR="004B4CA6" w:rsidP="004B4CA6" w:rsidRDefault="004B4CA6" w14:paraId="510607C8"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27.6pt;margin-top:-20.65pt;width:412.05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2BCDBD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">
              <v:textbox>
                <w:txbxContent>
                  <w:p w:rsidRPr="003E4ABB" w:rsidR="004B4CA6" w:rsidP="004B4CA6" w:rsidRDefault="004B4CA6" w14:paraId="09D87B7C" w14:textId="10766F95">
                    <w:pPr>
                      <w:pStyle w:val="Footer"/>
                      <w:rPr>
                        <w:b/>
                        <w:bCs/>
                        <w:sz w:val="22"/>
                        <w:szCs w:val="22"/>
                        <w:u w:val="single"/>
                      </w:rPr>
                    </w:pPr>
                    <w:r w:rsidRPr="003E4ABB">
                      <w:rPr>
                        <w:sz w:val="22"/>
                        <w:szCs w:val="22"/>
                      </w:rPr>
                      <w:t xml:space="preserve">Suggested reference: Centre for Teaching and Learning, Western University (2026). </w:t>
                    </w:r>
                    <w:r w:rsidR="00B07181">
                      <w:rPr>
                        <w:sz w:val="22"/>
                        <w:szCs w:val="22"/>
                      </w:rPr>
                      <w:t>Scaling Assessment for Large Courses</w:t>
                    </w:r>
                    <w:r w:rsidRPr="003E4ABB">
                      <w:rPr>
                        <w:sz w:val="22"/>
                        <w:szCs w:val="22"/>
                      </w:rPr>
                      <w:t>. https://teaching.uwo.ca/elearning/generativeAI-resources.html</w:t>
                    </w:r>
                  </w:p>
                  <w:p w:rsidRPr="00F46B5F" w:rsidR="004B4CA6" w:rsidP="004B4CA6" w:rsidRDefault="004B4CA6" w14:paraId="510607C8" w14:textId="77777777"/>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F1F" w:rsidP="004B4CA6" w:rsidRDefault="00632F1F" w14:paraId="67667E02" w14:textId="77777777">
      <w:pPr>
        <w:spacing w:after="0" w:line="240" w:lineRule="auto"/>
      </w:pPr>
      <w:r>
        <w:separator/>
      </w:r>
    </w:p>
  </w:footnote>
  <w:footnote w:type="continuationSeparator" w:id="0">
    <w:p w:rsidR="00632F1F" w:rsidP="004B4CA6" w:rsidRDefault="00632F1F" w14:paraId="3FDE1E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4CA6" w:rsidP="004B4CA6" w:rsidRDefault="004B4CA6" w14:paraId="59F754D3" w14:textId="204F2DC6">
    <w:pPr>
      <w:pStyle w:val="Header"/>
      <w:jc w:val="center"/>
    </w:pPr>
    <w:r>
      <w:rPr>
        <w:noProof/>
      </w:rPr>
      <w:drawing>
        <wp:inline distT="0" distB="0" distL="0" distR="0" wp14:anchorId="189BD9AD" wp14:editId="2DFA8609">
          <wp:extent cx="5018400" cy="305608"/>
          <wp:effectExtent l="0" t="0" r="0" b="0"/>
          <wp:docPr id="1228840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40727" name="draw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84100" cy="315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D5640"/>
    <w:multiLevelType w:val="hybridMultilevel"/>
    <w:tmpl w:val="27B6B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036C56"/>
    <w:multiLevelType w:val="hybridMultilevel"/>
    <w:tmpl w:val="DF58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354392">
    <w:abstractNumId w:val="0"/>
  </w:num>
  <w:num w:numId="2" w16cid:durableId="531114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A6"/>
    <w:rsid w:val="000347A1"/>
    <w:rsid w:val="00043E33"/>
    <w:rsid w:val="00050EE7"/>
    <w:rsid w:val="000842B6"/>
    <w:rsid w:val="000B4754"/>
    <w:rsid w:val="00121147"/>
    <w:rsid w:val="00155EEF"/>
    <w:rsid w:val="00163A87"/>
    <w:rsid w:val="001B147F"/>
    <w:rsid w:val="001C0E2B"/>
    <w:rsid w:val="0020028A"/>
    <w:rsid w:val="00246676"/>
    <w:rsid w:val="002B163F"/>
    <w:rsid w:val="00301198"/>
    <w:rsid w:val="0035132F"/>
    <w:rsid w:val="00371C0A"/>
    <w:rsid w:val="003E2D86"/>
    <w:rsid w:val="00404DD1"/>
    <w:rsid w:val="00497DAC"/>
    <w:rsid w:val="004A06D5"/>
    <w:rsid w:val="004B4CA6"/>
    <w:rsid w:val="004C4B66"/>
    <w:rsid w:val="004E3425"/>
    <w:rsid w:val="0051070C"/>
    <w:rsid w:val="00531ECE"/>
    <w:rsid w:val="00570ED7"/>
    <w:rsid w:val="005B27EA"/>
    <w:rsid w:val="005B4633"/>
    <w:rsid w:val="00632F1F"/>
    <w:rsid w:val="00646D75"/>
    <w:rsid w:val="00681C5B"/>
    <w:rsid w:val="006919A5"/>
    <w:rsid w:val="006C5E1B"/>
    <w:rsid w:val="006D04E1"/>
    <w:rsid w:val="007001CF"/>
    <w:rsid w:val="00775B05"/>
    <w:rsid w:val="007F49C4"/>
    <w:rsid w:val="00803ABC"/>
    <w:rsid w:val="008129AF"/>
    <w:rsid w:val="00896C7B"/>
    <w:rsid w:val="008A62AB"/>
    <w:rsid w:val="008A7AEC"/>
    <w:rsid w:val="008C5D42"/>
    <w:rsid w:val="00905CE2"/>
    <w:rsid w:val="00927CE6"/>
    <w:rsid w:val="00935E18"/>
    <w:rsid w:val="009A3335"/>
    <w:rsid w:val="00A12FC8"/>
    <w:rsid w:val="00A137EF"/>
    <w:rsid w:val="00A33CED"/>
    <w:rsid w:val="00A5101D"/>
    <w:rsid w:val="00A65FCD"/>
    <w:rsid w:val="00AA3278"/>
    <w:rsid w:val="00AB7AA7"/>
    <w:rsid w:val="00AC38A8"/>
    <w:rsid w:val="00AE1199"/>
    <w:rsid w:val="00AE2E00"/>
    <w:rsid w:val="00AE4EC7"/>
    <w:rsid w:val="00AE5BDD"/>
    <w:rsid w:val="00AF200D"/>
    <w:rsid w:val="00B07181"/>
    <w:rsid w:val="00B7497E"/>
    <w:rsid w:val="00B76AC5"/>
    <w:rsid w:val="00C53BC9"/>
    <w:rsid w:val="00C94A52"/>
    <w:rsid w:val="00CA3BD6"/>
    <w:rsid w:val="00CD52E9"/>
    <w:rsid w:val="00CE59A4"/>
    <w:rsid w:val="00D076A7"/>
    <w:rsid w:val="00D144E2"/>
    <w:rsid w:val="00D359AA"/>
    <w:rsid w:val="00D81C0A"/>
    <w:rsid w:val="00D831B1"/>
    <w:rsid w:val="00D95B99"/>
    <w:rsid w:val="00DB5559"/>
    <w:rsid w:val="00DB74F1"/>
    <w:rsid w:val="00DE2AC8"/>
    <w:rsid w:val="00DF2038"/>
    <w:rsid w:val="00E42265"/>
    <w:rsid w:val="00E50CEA"/>
    <w:rsid w:val="00E510AD"/>
    <w:rsid w:val="00E55FDD"/>
    <w:rsid w:val="00EA461A"/>
    <w:rsid w:val="00EB22A3"/>
    <w:rsid w:val="00ED0B01"/>
    <w:rsid w:val="00ED32DB"/>
    <w:rsid w:val="00F24412"/>
    <w:rsid w:val="00F647B9"/>
    <w:rsid w:val="00F815F5"/>
    <w:rsid w:val="00F90BD9"/>
    <w:rsid w:val="00FA395D"/>
    <w:rsid w:val="00FB3DE7"/>
    <w:rsid w:val="53976D65"/>
    <w:rsid w:val="754750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C2CE1"/>
  <w15:chartTrackingRefBased/>
  <w15:docId w15:val="{467E970A-2C92-C947-A5CE-66388A6C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B4CA6"/>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4CA6"/>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4C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4C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4C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4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A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B4CA6"/>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B4CA6"/>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B4CA6"/>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B4CA6"/>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B4CA6"/>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B4CA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B4CA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B4CA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B4CA6"/>
    <w:rPr>
      <w:rFonts w:eastAsiaTheme="majorEastAsia" w:cstheme="majorBidi"/>
      <w:color w:val="272727" w:themeColor="text1" w:themeTint="D8"/>
    </w:rPr>
  </w:style>
  <w:style w:type="paragraph" w:styleId="Title">
    <w:name w:val="Title"/>
    <w:basedOn w:val="Normal"/>
    <w:next w:val="Normal"/>
    <w:link w:val="TitleChar"/>
    <w:uiPriority w:val="10"/>
    <w:qFormat/>
    <w:rsid w:val="004B4CA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B4CA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B4CA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B4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A6"/>
    <w:pPr>
      <w:spacing w:before="160"/>
      <w:jc w:val="center"/>
    </w:pPr>
    <w:rPr>
      <w:i/>
      <w:iCs/>
      <w:color w:val="404040" w:themeColor="text1" w:themeTint="BF"/>
    </w:rPr>
  </w:style>
  <w:style w:type="character" w:styleId="QuoteChar" w:customStyle="1">
    <w:name w:val="Quote Char"/>
    <w:basedOn w:val="DefaultParagraphFont"/>
    <w:link w:val="Quote"/>
    <w:uiPriority w:val="29"/>
    <w:rsid w:val="004B4CA6"/>
    <w:rPr>
      <w:i/>
      <w:iCs/>
      <w:color w:val="404040" w:themeColor="text1" w:themeTint="BF"/>
    </w:rPr>
  </w:style>
  <w:style w:type="paragraph" w:styleId="ListParagraph">
    <w:name w:val="List Paragraph"/>
    <w:basedOn w:val="Normal"/>
    <w:uiPriority w:val="34"/>
    <w:qFormat/>
    <w:rsid w:val="004B4CA6"/>
    <w:pPr>
      <w:ind w:left="720"/>
      <w:contextualSpacing/>
    </w:pPr>
  </w:style>
  <w:style w:type="character" w:styleId="IntenseEmphasis">
    <w:name w:val="Intense Emphasis"/>
    <w:basedOn w:val="DefaultParagraphFont"/>
    <w:uiPriority w:val="21"/>
    <w:qFormat/>
    <w:rsid w:val="004B4CA6"/>
    <w:rPr>
      <w:i/>
      <w:iCs/>
      <w:color w:val="2F5496" w:themeColor="accent1" w:themeShade="BF"/>
    </w:rPr>
  </w:style>
  <w:style w:type="paragraph" w:styleId="IntenseQuote">
    <w:name w:val="Intense Quote"/>
    <w:basedOn w:val="Normal"/>
    <w:next w:val="Normal"/>
    <w:link w:val="IntenseQuoteChar"/>
    <w:uiPriority w:val="30"/>
    <w:qFormat/>
    <w:rsid w:val="004B4CA6"/>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B4CA6"/>
    <w:rPr>
      <w:i/>
      <w:iCs/>
      <w:color w:val="2F5496" w:themeColor="accent1" w:themeShade="BF"/>
    </w:rPr>
  </w:style>
  <w:style w:type="character" w:styleId="IntenseReference">
    <w:name w:val="Intense Reference"/>
    <w:basedOn w:val="DefaultParagraphFont"/>
    <w:uiPriority w:val="32"/>
    <w:qFormat/>
    <w:rsid w:val="004B4CA6"/>
    <w:rPr>
      <w:b/>
      <w:bCs/>
      <w:smallCaps/>
      <w:color w:val="2F5496" w:themeColor="accent1" w:themeShade="BF"/>
      <w:spacing w:val="5"/>
    </w:rPr>
  </w:style>
  <w:style w:type="paragraph" w:styleId="Header">
    <w:name w:val="header"/>
    <w:basedOn w:val="Normal"/>
    <w:link w:val="HeaderChar"/>
    <w:uiPriority w:val="99"/>
    <w:unhideWhenUsed/>
    <w:rsid w:val="004B4CA6"/>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4CA6"/>
  </w:style>
  <w:style w:type="paragraph" w:styleId="Footer">
    <w:name w:val="footer"/>
    <w:basedOn w:val="Normal"/>
    <w:link w:val="FooterChar"/>
    <w:uiPriority w:val="99"/>
    <w:unhideWhenUsed/>
    <w:rsid w:val="004B4CA6"/>
    <w:pPr>
      <w:tabs>
        <w:tab w:val="center" w:pos="4680"/>
        <w:tab w:val="right" w:pos="9360"/>
      </w:tabs>
      <w:spacing w:after="0" w:line="240" w:lineRule="auto"/>
    </w:pPr>
  </w:style>
  <w:style w:type="character" w:styleId="FooterChar" w:customStyle="1">
    <w:name w:val="Footer Char"/>
    <w:basedOn w:val="DefaultParagraphFont"/>
    <w:link w:val="Footer"/>
    <w:uiPriority w:val="99"/>
    <w:rsid w:val="004B4CA6"/>
  </w:style>
  <w:style w:type="character" w:styleId="Hyperlink">
    <w:name w:val="Hyperlink"/>
    <w:basedOn w:val="DefaultParagraphFont"/>
    <w:uiPriority w:val="99"/>
    <w:unhideWhenUsed/>
    <w:rsid w:val="00AE5BDD"/>
    <w:rPr>
      <w:color w:val="0563C1" w:themeColor="hyperlink"/>
      <w:u w:val="single"/>
    </w:rPr>
  </w:style>
  <w:style w:type="character" w:styleId="UnresolvedMention">
    <w:name w:val="Unresolved Mention"/>
    <w:basedOn w:val="DefaultParagraphFont"/>
    <w:uiPriority w:val="99"/>
    <w:semiHidden/>
    <w:unhideWhenUsed/>
    <w:rsid w:val="00AE5BDD"/>
    <w:rPr>
      <w:color w:val="605E5C"/>
      <w:shd w:val="clear" w:color="auto" w:fill="E1DFDD"/>
    </w:rPr>
  </w:style>
  <w:style w:type="table" w:styleId="TableGrid">
    <w:name w:val="Table Grid"/>
    <w:basedOn w:val="TableNormal"/>
    <w:uiPriority w:val="39"/>
    <w:rsid w:val="009A33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01198"/>
    <w:rPr>
      <w:sz w:val="16"/>
      <w:szCs w:val="16"/>
    </w:rPr>
  </w:style>
  <w:style w:type="paragraph" w:styleId="CommentText">
    <w:name w:val="annotation text"/>
    <w:basedOn w:val="Normal"/>
    <w:link w:val="CommentTextChar"/>
    <w:uiPriority w:val="99"/>
    <w:semiHidden/>
    <w:unhideWhenUsed/>
    <w:rsid w:val="00301198"/>
    <w:pPr>
      <w:spacing w:line="240" w:lineRule="auto"/>
    </w:pPr>
    <w:rPr>
      <w:sz w:val="20"/>
      <w:szCs w:val="20"/>
    </w:rPr>
  </w:style>
  <w:style w:type="character" w:styleId="CommentTextChar" w:customStyle="1">
    <w:name w:val="Comment Text Char"/>
    <w:basedOn w:val="DefaultParagraphFont"/>
    <w:link w:val="CommentText"/>
    <w:uiPriority w:val="99"/>
    <w:semiHidden/>
    <w:rsid w:val="00301198"/>
    <w:rPr>
      <w:sz w:val="20"/>
      <w:szCs w:val="20"/>
    </w:rPr>
  </w:style>
  <w:style w:type="paragraph" w:styleId="CommentSubject">
    <w:name w:val="annotation subject"/>
    <w:basedOn w:val="CommentText"/>
    <w:next w:val="CommentText"/>
    <w:link w:val="CommentSubjectChar"/>
    <w:uiPriority w:val="99"/>
    <w:semiHidden/>
    <w:unhideWhenUsed/>
    <w:rsid w:val="00301198"/>
    <w:rPr>
      <w:b/>
      <w:bCs/>
    </w:rPr>
  </w:style>
  <w:style w:type="character" w:styleId="CommentSubjectChar" w:customStyle="1">
    <w:name w:val="Comment Subject Char"/>
    <w:basedOn w:val="CommentTextChar"/>
    <w:link w:val="CommentSubject"/>
    <w:uiPriority w:val="99"/>
    <w:semiHidden/>
    <w:rsid w:val="003011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teaching.uwo.ca/curriculum/coursedesign/backward-design.html" TargetMode="External" Id="rId13" /><Relationship Type="http://schemas.openxmlformats.org/officeDocument/2006/relationships/hyperlink" Target="https://www.yorku.ca/teachingcommons/wp-content/uploads/sites/38/2021/02/Guide_large_classroom_assessments_FINALa.pdf" TargetMode="External" Id="rId18" /><Relationship Type="http://schemas.openxmlformats.org/officeDocument/2006/relationships/hyperlink" Target="https://doi.org/10.1016/j.stueduc.2021.101094" TargetMode="External" Id="rId26" /><Relationship Type="http://schemas.openxmlformats.org/officeDocument/2006/relationships/customXml" Target="../customXml/item3.xml" Id="rId3" /><Relationship Type="http://schemas.openxmlformats.org/officeDocument/2006/relationships/hyperlink" Target="https://doi.org/10.3390/educsci15020224" TargetMode="External" Id="rId21" /><Relationship Type="http://schemas.openxmlformats.org/officeDocument/2006/relationships/webSettings" Target="webSettings.xml" Id="rId7" /><Relationship Type="http://schemas.openxmlformats.org/officeDocument/2006/relationships/hyperlink" Target="https://web.uvic.ca/~thopper/iweb09/GillPaul/Site/Assessment_files/Assessment.pdf" TargetMode="External" Id="rId17" /><Relationship Type="http://schemas.openxmlformats.org/officeDocument/2006/relationships/hyperlink" Target="https://doi.org/10.3390/educsci12010056" TargetMode="External" Id="rId25" /><Relationship Type="http://schemas.openxmlformats.org/officeDocument/2006/relationships/customXml" Target="../customXml/item2.xml" Id="rId2" /><Relationship Type="http://schemas.openxmlformats.org/officeDocument/2006/relationships/hyperlink" Target="https://teaching.uwo.ca/curriculum/coursedesign/backward-design.html" TargetMode="External" Id="rId16" /><Relationship Type="http://schemas.openxmlformats.org/officeDocument/2006/relationships/hyperlink" Target="https://www.timeshighereducation.com/campus/effective-assessment-methods-large-enrolment-classes"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mc.ncbi.nlm.nih.gov/articles/PMC1705919/" TargetMode="External" Id="rId24" /><Relationship Type="http://schemas.openxmlformats.org/officeDocument/2006/relationships/styles" Target="styles.xml" Id="rId5" /><Relationship Type="http://schemas.openxmlformats.org/officeDocument/2006/relationships/hyperlink" Target="https://www.bcit.ca/files/ltc/pdf/ja_developchecklists.pdf" TargetMode="External" Id="rId15" /><Relationship Type="http://schemas.openxmlformats.org/officeDocument/2006/relationships/hyperlink" Target="https://doi.org/10.1080/02602938.2011.625472" TargetMode="External" Id="rId23" /><Relationship Type="http://schemas.openxmlformats.org/officeDocument/2006/relationships/header" Target="header1.xml" Id="rId28" /><Relationship Type="http://schemas.openxmlformats.org/officeDocument/2006/relationships/hyperlink" Target="https://doi.org/10.1080/07294360.2024.2407083"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ambridgeassessment.org.uk/blogs/what-and-why-do-we-assess-in-the-classroom/" TargetMode="External" Id="rId14" /><Relationship Type="http://schemas.openxmlformats.org/officeDocument/2006/relationships/hyperlink" Target="https://www.timeshighereducation.com/campus/cut-down-your-marking-time-using-wholeclass-feedback" TargetMode="External" Id="rId22" /><Relationship Type="http://schemas.openxmlformats.org/officeDocument/2006/relationships/hyperlink" Target="https://teachingkb.mcgill.ca/tlk/use-exemplars-to-clarify-assessment-expectations" TargetMode="External" Id="rId27" /><Relationship Type="http://schemas.openxmlformats.org/officeDocument/2006/relationships/fontTable" Target="fontTable.xml" Id="rId30" /><Relationship Type="http://schemas.openxmlformats.org/officeDocument/2006/relationships/hyperlink" Target="https://www.cambridgeassessment.org.uk/blogs/what-and-why-do-we-assess-in-the-classroom/" TargetMode="External" Id="R0235d4b84f824e8e" /><Relationship Type="http://schemas.openxmlformats.org/officeDocument/2006/relationships/hyperlink" Target="https://web.uvic.ca/~thopper/iweb09/GillPaul/Site/Assessment_files/Assessment.pdf" TargetMode="External" Id="R52f793e4266d49bc" /><Relationship Type="http://schemas.openxmlformats.org/officeDocument/2006/relationships/hyperlink" Target="https://doi.org/10.1016/j.stueduc.2021.101094" TargetMode="External" Id="Rd46e55f859e64ce1"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DED0EFCCB55E4F86ACD1DB8B759412" ma:contentTypeVersion="19" ma:contentTypeDescription="Create a new document." ma:contentTypeScope="" ma:versionID="30df87c8e247bd774ad2ccb9805ef8ff">
  <xsd:schema xmlns:xsd="http://www.w3.org/2001/XMLSchema" xmlns:xs="http://www.w3.org/2001/XMLSchema" xmlns:p="http://schemas.microsoft.com/office/2006/metadata/properties" xmlns:ns2="a17acca7-7318-4771-8995-5150499e55ff" xmlns:ns3="2c90a57d-6df2-4460-981c-17f0f70f81e6" targetNamespace="http://schemas.microsoft.com/office/2006/metadata/properties" ma:root="true" ma:fieldsID="c71ec35302e5b73ceaeb5ec553a6b8b9" ns2:_="" ns3:_="">
    <xsd:import namespace="a17acca7-7318-4771-8995-5150499e55ff"/>
    <xsd:import namespace="2c90a57d-6df2-4460-981c-17f0f70f81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acca7-7318-4771-8995-5150499e5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0a57d-6df2-4460-981c-17f0f70f81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60e57-e2da-4584-b28d-56e2f4e15a2f}" ma:internalName="TaxCatchAll" ma:showField="CatchAllData" ma:web="2c90a57d-6df2-4460-981c-17f0f70f8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90a57d-6df2-4460-981c-17f0f70f81e6" xsi:nil="true"/>
    <lcf76f155ced4ddcb4097134ff3c332f xmlns="a17acca7-7318-4771-8995-5150499e55ff">
      <Terms xmlns="http://schemas.microsoft.com/office/infopath/2007/PartnerControls"/>
    </lcf76f155ced4ddcb4097134ff3c332f>
    <SharedWithUsers xmlns="2c90a57d-6df2-4460-981c-17f0f70f81e6">
      <UserInfo>
        <DisplayName/>
        <AccountId xsi:nil="true"/>
        <AccountType/>
      </UserInfo>
    </SharedWithUsers>
  </documentManagement>
</p:properties>
</file>

<file path=customXml/itemProps1.xml><?xml version="1.0" encoding="utf-8"?>
<ds:datastoreItem xmlns:ds="http://schemas.openxmlformats.org/officeDocument/2006/customXml" ds:itemID="{4F835D02-D6B1-4D26-9D8D-7DD51EC477DF}">
  <ds:schemaRefs>
    <ds:schemaRef ds:uri="http://schemas.microsoft.com/sharepoint/v3/contenttype/forms"/>
  </ds:schemaRefs>
</ds:datastoreItem>
</file>

<file path=customXml/itemProps2.xml><?xml version="1.0" encoding="utf-8"?>
<ds:datastoreItem xmlns:ds="http://schemas.openxmlformats.org/officeDocument/2006/customXml" ds:itemID="{E2E96E0F-4AEE-4D93-A882-D5667DDC474C}"/>
</file>

<file path=customXml/itemProps3.xml><?xml version="1.0" encoding="utf-8"?>
<ds:datastoreItem xmlns:ds="http://schemas.openxmlformats.org/officeDocument/2006/customXml" ds:itemID="{2743A5AA-BC38-422F-B614-D01610AB95AC}">
  <ds:schemaRefs>
    <ds:schemaRef ds:uri="http://schemas.microsoft.com/office/2006/metadata/properties"/>
    <ds:schemaRef ds:uri="http://schemas.microsoft.com/office/infopath/2007/PartnerControls"/>
    <ds:schemaRef ds:uri="6998f8ed-d827-43cc-b6b4-c291fb5ca116"/>
    <ds:schemaRef ds:uri="bd8148ff-c126-466e-b172-1fc7eb8302a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Brandon Dickson</dc:creator>
  <keywords/>
  <dc:description/>
  <lastModifiedBy>Brandon Dickson</lastModifiedBy>
  <revision>77</revision>
  <dcterms:created xsi:type="dcterms:W3CDTF">2026-07-03T17:23:00.0000000Z</dcterms:created>
  <dcterms:modified xsi:type="dcterms:W3CDTF">2026-08-11T14:55:00.5104202Z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0x01010083DED0EFCCB55E4F86ACD1DB8B759412</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